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3D33C" w14:textId="0A3A4903" w:rsidR="004C3D6F" w:rsidRPr="006F11DD" w:rsidRDefault="004C3D6F" w:rsidP="004C3D6F">
      <w:pPr>
        <w:pStyle w:val="Header"/>
        <w:rPr>
          <w:noProof/>
          <w:sz w:val="24"/>
        </w:rPr>
      </w:pPr>
      <w:r w:rsidRPr="006F11DD">
        <w:rPr>
          <w:noProof/>
          <w:sz w:val="24"/>
        </w:rPr>
        <w:t>3GPP TSG-SA3 Meeting #117</w:t>
      </w:r>
      <w:r w:rsidRPr="006F11DD"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C797C" w:rsidRPr="00EC797C">
        <w:rPr>
          <w:noProof/>
          <w:sz w:val="24"/>
        </w:rPr>
        <w:t>S3-242935</w:t>
      </w:r>
    </w:p>
    <w:p w14:paraId="0F0B738D" w14:textId="77777777" w:rsidR="0011155B" w:rsidRPr="008426C5" w:rsidRDefault="004C3D6F" w:rsidP="008426C5">
      <w:pPr>
        <w:pStyle w:val="Header"/>
        <w:rPr>
          <w:sz w:val="22"/>
          <w:szCs w:val="22"/>
        </w:rPr>
      </w:pPr>
      <w:r w:rsidRPr="006F11DD">
        <w:rPr>
          <w:noProof/>
          <w:sz w:val="24"/>
        </w:rPr>
        <w:t>Maastricht, Netherlands  19 - 23 August 2024</w:t>
      </w:r>
      <w:r>
        <w:rPr>
          <w:noProof/>
          <w:sz w:val="24"/>
        </w:rPr>
        <w:t xml:space="preserve"> 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 w:rsidRPr="006C2E80">
        <w:rPr>
          <w:rFonts w:eastAsia="Batang" w:cs="Arial"/>
          <w:lang w:eastAsia="zh-CN"/>
        </w:rPr>
        <w:t xml:space="preserve">(revision of </w:t>
      </w:r>
      <w:r w:rsidR="00FF0D2E">
        <w:rPr>
          <w:rFonts w:eastAsia="Batang" w:cs="Arial"/>
          <w:lang w:eastAsia="zh-CN"/>
        </w:rPr>
        <w:t>S3</w:t>
      </w:r>
      <w:r w:rsidR="00FF0D2E" w:rsidRPr="006C2E80">
        <w:rPr>
          <w:rFonts w:eastAsia="Batang" w:cs="Arial"/>
          <w:lang w:eastAsia="zh-CN"/>
        </w:rPr>
        <w:t>-yyxxxx)</w:t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F3384C">
        <w:rPr>
          <w:rFonts w:ascii="Arial" w:hAnsi="Arial"/>
          <w:b/>
          <w:lang w:val="en-US"/>
        </w:rPr>
        <w:t>Nokia</w:t>
      </w:r>
    </w:p>
    <w:bookmarkEnd w:id="0"/>
    <w:p w14:paraId="3890AEC6" w14:textId="183FD3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4853">
        <w:rPr>
          <w:rFonts w:ascii="Arial" w:hAnsi="Arial" w:cs="Arial"/>
          <w:b/>
        </w:rPr>
        <w:t xml:space="preserve">Discussion paper </w:t>
      </w:r>
      <w:r w:rsidR="00CB2FDF">
        <w:rPr>
          <w:rFonts w:ascii="Arial" w:hAnsi="Arial" w:cs="Arial"/>
          <w:b/>
        </w:rPr>
        <w:t xml:space="preserve">for </w:t>
      </w:r>
      <w:r w:rsidR="00A72813">
        <w:rPr>
          <w:rFonts w:ascii="Arial" w:hAnsi="Arial" w:cs="Arial"/>
          <w:b/>
        </w:rPr>
        <w:t xml:space="preserve">Fast BSS </w:t>
      </w:r>
      <w:r w:rsidR="007F5722">
        <w:rPr>
          <w:rFonts w:ascii="Arial" w:hAnsi="Arial" w:cs="Arial"/>
          <w:b/>
        </w:rPr>
        <w:t xml:space="preserve">details </w:t>
      </w:r>
      <w:r w:rsidR="007616E6">
        <w:rPr>
          <w:rFonts w:ascii="Arial" w:hAnsi="Arial" w:cs="Arial"/>
          <w:b/>
        </w:rPr>
        <w:t>from 802.11 specs</w:t>
      </w:r>
    </w:p>
    <w:p w14:paraId="218DC42A" w14:textId="681C6A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524B8">
        <w:rPr>
          <w:rFonts w:ascii="Arial" w:hAnsi="Arial"/>
          <w:b/>
          <w:lang w:eastAsia="zh-CN"/>
        </w:rPr>
        <w:t>discussion</w:t>
      </w:r>
    </w:p>
    <w:p w14:paraId="56AB37C1" w14:textId="3C51FEC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3D6F">
        <w:rPr>
          <w:rFonts w:ascii="Arial" w:hAnsi="Arial"/>
          <w:b/>
        </w:rPr>
        <w:t>5.</w:t>
      </w:r>
      <w:r w:rsidR="006D7DB6">
        <w:rPr>
          <w:rFonts w:ascii="Arial" w:hAnsi="Arial"/>
          <w:b/>
        </w:rPr>
        <w:t>8</w:t>
      </w:r>
    </w:p>
    <w:p w14:paraId="0186BF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65E529" w14:textId="6494313C" w:rsidR="00C022E3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</w:t>
      </w:r>
      <w:proofErr w:type="gramStart"/>
      <w:r>
        <w:rPr>
          <w:b/>
          <w:i/>
        </w:rPr>
        <w:t>is requested</w:t>
      </w:r>
      <w:proofErr w:type="gramEnd"/>
      <w:r>
        <w:rPr>
          <w:b/>
          <w:i/>
        </w:rPr>
        <w:t xml:space="preserve"> to </w:t>
      </w:r>
      <w:r w:rsidR="00764853">
        <w:rPr>
          <w:b/>
          <w:i/>
        </w:rPr>
        <w:t>discuss the discussion paper</w:t>
      </w:r>
      <w:r w:rsidR="00380857" w:rsidRPr="00380857">
        <w:rPr>
          <w:b/>
          <w:i/>
        </w:rPr>
        <w:t xml:space="preserve"> on </w:t>
      </w:r>
      <w:r w:rsidR="00A37E48">
        <w:rPr>
          <w:b/>
          <w:i/>
        </w:rPr>
        <w:t>Fast BSS solution issue related to NSWO</w:t>
      </w:r>
    </w:p>
    <w:p w14:paraId="451516D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1AC768" w14:textId="77777777" w:rsidR="00A60108" w:rsidRDefault="006E15F4" w:rsidP="00021A9D">
      <w:pPr>
        <w:pStyle w:val="Reference"/>
        <w:rPr>
          <w:rFonts w:eastAsia="Times New Roman"/>
          <w:lang w:eastAsia="zh-CN"/>
        </w:rPr>
      </w:pPr>
      <w:r w:rsidRPr="00CB0E6C">
        <w:rPr>
          <w:rFonts w:eastAsia="Microsoft YaHei"/>
        </w:rPr>
        <w:t>[</w:t>
      </w:r>
      <w:r>
        <w:rPr>
          <w:rFonts w:eastAsia="Microsoft YaHei"/>
        </w:rPr>
        <w:t>X</w:t>
      </w:r>
      <w:r w:rsidRPr="00CB0E6C">
        <w:rPr>
          <w:rFonts w:eastAsia="Microsoft YaHei"/>
        </w:rPr>
        <w:t xml:space="preserve">] </w:t>
      </w:r>
      <w:r w:rsidRPr="00CB0E6C">
        <w:rPr>
          <w:rFonts w:eastAsia="Microsoft YaHei"/>
        </w:rPr>
        <w:tab/>
      </w:r>
      <w:r w:rsidR="00822909">
        <w:rPr>
          <w:rFonts w:eastAsia="Times New Roman"/>
          <w:lang w:eastAsia="zh-CN"/>
        </w:rPr>
        <w:tab/>
      </w:r>
    </w:p>
    <w:p w14:paraId="7F60BBE4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3D15153C" w14:textId="6B4C6340" w:rsidR="008D0F68" w:rsidRDefault="007616E6" w:rsidP="007E381B">
      <w:r>
        <w:t xml:space="preserve">It was </w:t>
      </w:r>
      <w:proofErr w:type="gramStart"/>
      <w:r>
        <w:t>observed</w:t>
      </w:r>
      <w:proofErr w:type="gramEnd"/>
      <w:r>
        <w:t xml:space="preserve"> companies are not able to visualize the Fast BSS working defined in 802.11 specs. </w:t>
      </w:r>
      <w:proofErr w:type="gramStart"/>
      <w:r>
        <w:t>So</w:t>
      </w:r>
      <w:proofErr w:type="gramEnd"/>
      <w:r>
        <w:t xml:space="preserve"> in this we copying the relevant text from the 802.11</w:t>
      </w:r>
      <w:r w:rsidR="00A959C4">
        <w:t xml:space="preserve"> specs.</w:t>
      </w:r>
    </w:p>
    <w:p w14:paraId="6CDC7EED" w14:textId="77777777" w:rsidR="0002497E" w:rsidRDefault="00DE2B85" w:rsidP="00DE2B8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1EA07AE" w14:textId="205EDD61" w:rsidR="00FD1A93" w:rsidRPr="00A959C4" w:rsidRDefault="00D21C9F" w:rsidP="00D21C9F">
      <w:pPr>
        <w:pStyle w:val="Heading2"/>
        <w:rPr>
          <w:lang w:eastAsia="en-IN"/>
        </w:rPr>
      </w:pPr>
      <w:bookmarkStart w:id="1" w:name="_Toc107949223"/>
      <w:r>
        <w:rPr>
          <w:lang w:eastAsia="en-IN"/>
        </w:rPr>
        <w:t xml:space="preserve">4.2 </w:t>
      </w:r>
      <w:r w:rsidR="00A959C4" w:rsidRPr="00A959C4">
        <w:rPr>
          <w:lang w:eastAsia="en-IN"/>
        </w:rPr>
        <w:t>Basic Definition.</w:t>
      </w:r>
    </w:p>
    <w:p w14:paraId="6EF21D14" w14:textId="77777777" w:rsidR="00872E07" w:rsidRDefault="00872E07" w:rsidP="00872E07">
      <w:pPr>
        <w:rPr>
          <w:lang w:val="en-IN" w:eastAsia="en-IN"/>
        </w:rPr>
      </w:pPr>
      <w:r>
        <w:t>Fast BSS transition works within a Mobility Domain. According to IEEE 802.11-2020 specification:</w:t>
      </w:r>
    </w:p>
    <w:p w14:paraId="4E27B6E4" w14:textId="77777777" w:rsidR="00872E07" w:rsidRPr="00A5448F" w:rsidRDefault="00872E07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  <w:r w:rsidRPr="00A5448F">
        <w:rPr>
          <w:rFonts w:ascii="Arial" w:eastAsia="Times New Roman" w:hAnsi="Arial" w:cs="Arial"/>
          <w:b/>
          <w:bCs/>
          <w:i/>
          <w:iCs/>
        </w:rPr>
        <w:t>mobility domain:</w:t>
      </w:r>
      <w:r w:rsidRPr="00A5448F">
        <w:rPr>
          <w:rFonts w:ascii="Arial" w:eastAsia="Times New Roman" w:hAnsi="Arial" w:cs="Arial"/>
          <w:i/>
          <w:iCs/>
        </w:rPr>
        <w:t xml:space="preserve"> A set of basic service sets (BSSs), within the same extended service set (ESS), that support fast BSS transitions between themselves and that are </w:t>
      </w:r>
      <w:proofErr w:type="gramStart"/>
      <w:r w:rsidRPr="00A5448F">
        <w:rPr>
          <w:rFonts w:ascii="Arial" w:eastAsia="Times New Roman" w:hAnsi="Arial" w:cs="Arial"/>
          <w:i/>
          <w:iCs/>
        </w:rPr>
        <w:t>identified</w:t>
      </w:r>
      <w:proofErr w:type="gramEnd"/>
      <w:r w:rsidRPr="00A5448F">
        <w:rPr>
          <w:rFonts w:ascii="Arial" w:eastAsia="Times New Roman" w:hAnsi="Arial" w:cs="Arial"/>
          <w:i/>
          <w:iCs/>
        </w:rPr>
        <w:t xml:space="preserve"> by the set’s mobility domain identifier (</w:t>
      </w:r>
      <w:proofErr w:type="spellStart"/>
      <w:r w:rsidRPr="00A5448F">
        <w:rPr>
          <w:rFonts w:ascii="Arial" w:eastAsia="Times New Roman" w:hAnsi="Arial" w:cs="Arial"/>
          <w:i/>
          <w:iCs/>
        </w:rPr>
        <w:t>MDID</w:t>
      </w:r>
      <w:proofErr w:type="spellEnd"/>
      <w:r w:rsidRPr="00A5448F">
        <w:rPr>
          <w:rFonts w:ascii="Arial" w:eastAsia="Times New Roman" w:hAnsi="Arial" w:cs="Arial"/>
          <w:i/>
          <w:iCs/>
        </w:rPr>
        <w:t>).</w:t>
      </w:r>
    </w:p>
    <w:p w14:paraId="64A03446" w14:textId="77777777" w:rsidR="00872E07" w:rsidRDefault="00872E07" w:rsidP="00872E07">
      <w:pPr>
        <w:rPr>
          <w:rFonts w:ascii="Arial" w:eastAsiaTheme="minorHAnsi" w:hAnsi="Arial" w:cs="Arial"/>
        </w:rPr>
      </w:pPr>
    </w:p>
    <w:p w14:paraId="71024D66" w14:textId="77777777" w:rsidR="00872E07" w:rsidRDefault="00872E07" w:rsidP="00872E07">
      <w:pPr>
        <w:rPr>
          <w:rFonts w:ascii="Arial" w:hAnsi="Arial" w:cs="Arial"/>
        </w:rPr>
      </w:pPr>
      <w:r>
        <w:rPr>
          <w:rFonts w:ascii="Arial" w:hAnsi="Arial" w:cs="Arial"/>
        </w:rPr>
        <w:t>A Mobility Domain is an area within an ESS (extended service set).</w:t>
      </w:r>
    </w:p>
    <w:p w14:paraId="06622098" w14:textId="77777777" w:rsidR="00872E07" w:rsidRDefault="00872E07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  <w:r w:rsidRPr="00A5448F">
        <w:rPr>
          <w:rFonts w:ascii="Arial" w:eastAsia="Times New Roman" w:hAnsi="Arial" w:cs="Arial"/>
          <w:b/>
          <w:bCs/>
          <w:i/>
          <w:iCs/>
        </w:rPr>
        <w:t>extended service set (ESS):</w:t>
      </w:r>
      <w:r w:rsidRPr="00A5448F">
        <w:rPr>
          <w:rFonts w:ascii="Arial" w:eastAsia="Times New Roman" w:hAnsi="Arial" w:cs="Arial"/>
          <w:i/>
          <w:iCs/>
        </w:rPr>
        <w:t xml:space="preserve"> A set of one or more interconnected basic service sets (BSSs) that appears as a single BSS to the logical link control (LLC) layer at any station (STA) associated with one of those BSSs.</w:t>
      </w:r>
    </w:p>
    <w:p w14:paraId="49457CAF" w14:textId="77777777" w:rsidR="00A959C4" w:rsidRPr="00A5448F" w:rsidRDefault="00A959C4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</w:p>
    <w:p w14:paraId="7D891D04" w14:textId="08741D87" w:rsidR="00872E07" w:rsidRDefault="00756D30" w:rsidP="00872E07">
      <w:pPr>
        <w:rPr>
          <w:rFonts w:ascii="Arial" w:eastAsiaTheme="minorHAnsi" w:hAnsi="Arial" w:cs="Arial"/>
        </w:rPr>
      </w:pPr>
      <w:r>
        <w:rPr>
          <w:noProof/>
        </w:rPr>
        <w:drawing>
          <wp:inline distT="0" distB="0" distL="0" distR="0" wp14:anchorId="699D67A2" wp14:editId="72CF6AB9">
            <wp:extent cx="4328541" cy="2880305"/>
            <wp:effectExtent l="0" t="0" r="0" b="0"/>
            <wp:docPr id="1826745349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45349" name="Picture 1" descr="A diagram of a 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41175" cy="2888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94F33" w14:textId="7973B6FC" w:rsidR="0011129A" w:rsidRDefault="00A5448F" w:rsidP="00872E07">
      <w:pPr>
        <w:rPr>
          <w:rFonts w:ascii="Arial" w:hAnsi="Arial" w:cs="Arial"/>
        </w:rPr>
      </w:pPr>
      <w:r>
        <w:rPr>
          <w:b/>
          <w:bCs/>
          <w:lang w:eastAsia="en-IN"/>
        </w:rPr>
        <w:lastRenderedPageBreak/>
        <w:t xml:space="preserve">Observation 1 </w:t>
      </w:r>
      <w:r w:rsidR="00872E07">
        <w:rPr>
          <w:rFonts w:ascii="Arial" w:hAnsi="Arial" w:cs="Arial"/>
        </w:rPr>
        <w:t xml:space="preserve">It means, that Fast BSS Transition </w:t>
      </w:r>
      <w:proofErr w:type="gramStart"/>
      <w:r w:rsidR="00872E07">
        <w:rPr>
          <w:rFonts w:ascii="Arial" w:hAnsi="Arial" w:cs="Arial"/>
        </w:rPr>
        <w:t>is restricted</w:t>
      </w:r>
      <w:proofErr w:type="gramEnd"/>
      <w:r w:rsidR="00872E07">
        <w:rPr>
          <w:rFonts w:ascii="Arial" w:hAnsi="Arial" w:cs="Arial"/>
        </w:rPr>
        <w:t xml:space="preserve"> to a single Layer 2 broadcast domain.</w:t>
      </w:r>
    </w:p>
    <w:p w14:paraId="1A804AB7" w14:textId="35FF4EE9" w:rsidR="00353EC0" w:rsidRDefault="00353EC0" w:rsidP="001A1C4B">
      <w:pPr>
        <w:rPr>
          <w:rFonts w:ascii="Arial" w:eastAsia="Times New Roman" w:hAnsi="Arial" w:cs="Arial"/>
        </w:rPr>
      </w:pPr>
      <w:r>
        <w:rPr>
          <w:b/>
          <w:bCs/>
          <w:lang w:eastAsia="en-IN"/>
        </w:rPr>
        <w:t xml:space="preserve">Observation 2 </w:t>
      </w:r>
      <w:r>
        <w:rPr>
          <w:rFonts w:ascii="Arial" w:hAnsi="Arial" w:cs="Arial"/>
        </w:rPr>
        <w:t>It means that all connected UEs</w:t>
      </w:r>
      <w:r>
        <w:t xml:space="preserve"> must be able to</w:t>
      </w:r>
      <w:r w:rsidR="001A1C4B">
        <w:t xml:space="preserve"> s</w:t>
      </w:r>
      <w:r>
        <w:rPr>
          <w:rFonts w:eastAsia="Times New Roman"/>
        </w:rPr>
        <w:t>end an ARP to their default router</w:t>
      </w:r>
      <w:r w:rsidR="004C3F92">
        <w:rPr>
          <w:rFonts w:eastAsia="Times New Roman"/>
        </w:rPr>
        <w:t xml:space="preserve"> </w:t>
      </w:r>
      <w:r>
        <w:rPr>
          <w:rFonts w:eastAsia="Times New Roman"/>
        </w:rPr>
        <w:t>or</w:t>
      </w:r>
      <w:r w:rsidR="001A1C4B">
        <w:rPr>
          <w:rFonts w:eastAsia="Times New Roman"/>
        </w:rPr>
        <w:t xml:space="preserve"> </w:t>
      </w:r>
      <w:proofErr w:type="gramStart"/>
      <w:r w:rsidR="001A1C4B">
        <w:rPr>
          <w:rFonts w:eastAsia="Times New Roman"/>
        </w:rPr>
        <w:t>t</w:t>
      </w:r>
      <w:r>
        <w:rPr>
          <w:rFonts w:eastAsia="Times New Roman"/>
        </w:rPr>
        <w:t>ransmit</w:t>
      </w:r>
      <w:proofErr w:type="gramEnd"/>
      <w:r>
        <w:rPr>
          <w:rFonts w:eastAsia="Times New Roman"/>
        </w:rPr>
        <w:t xml:space="preserve"> a DHCP request to the server that had previously assigned their address.</w:t>
      </w:r>
    </w:p>
    <w:p w14:paraId="72E6E08E" w14:textId="77777777" w:rsidR="00BA0741" w:rsidRDefault="00BA0741" w:rsidP="00BA0741">
      <w:pPr>
        <w:rPr>
          <w:rFonts w:ascii="Arial" w:hAnsi="Arial" w:cs="Arial"/>
          <w:lang w:eastAsia="en-IN"/>
        </w:rPr>
      </w:pPr>
      <w:r w:rsidRPr="00BE3B9A">
        <w:rPr>
          <w:b/>
          <w:bCs/>
          <w:lang w:eastAsia="en-IN"/>
        </w:rPr>
        <w:t>Observation3:</w:t>
      </w:r>
      <w:r>
        <w:rPr>
          <w:rFonts w:ascii="Arial" w:hAnsi="Arial" w:cs="Arial"/>
        </w:rPr>
        <w:t xml:space="preserve"> Even when </w:t>
      </w:r>
      <w:r w:rsidRPr="00754F7C">
        <w:rPr>
          <w:rFonts w:ascii="Arial" w:hAnsi="Arial" w:cs="Arial"/>
          <w:highlight w:val="yellow"/>
        </w:rPr>
        <w:t>FT is independent of IP connectivity issues, the specification requires that the IP connectivity can remain unchanged throughout the whole mobility domain</w:t>
      </w:r>
      <w:r>
        <w:rPr>
          <w:rFonts w:ascii="Arial" w:hAnsi="Arial" w:cs="Arial"/>
        </w:rPr>
        <w:t>.</w:t>
      </w:r>
    </w:p>
    <w:p w14:paraId="1E41AB03" w14:textId="77777777" w:rsidR="00BA0741" w:rsidRDefault="00BA0741" w:rsidP="00BA07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specification standpoint, </w:t>
      </w:r>
      <w:r w:rsidRPr="00FF0EFC">
        <w:rPr>
          <w:rFonts w:ascii="Arial" w:hAnsi="Arial" w:cs="Arial"/>
          <w:highlight w:val="yellow"/>
        </w:rPr>
        <w:t>UEs stay connected to the ESS (bridged network) regardless of their IP address while performing fast transition handover</w:t>
      </w:r>
      <w:r>
        <w:rPr>
          <w:rFonts w:ascii="Arial" w:hAnsi="Arial" w:cs="Arial"/>
        </w:rPr>
        <w:t>. The network must ensure IP address preservation while UEs are moving.</w:t>
      </w:r>
    </w:p>
    <w:p w14:paraId="4AD8C100" w14:textId="1D9564BC" w:rsidR="00D21C9F" w:rsidRPr="00A959C4" w:rsidRDefault="00D21C9F" w:rsidP="00D21C9F">
      <w:pPr>
        <w:pStyle w:val="Heading2"/>
        <w:rPr>
          <w:lang w:eastAsia="en-IN"/>
        </w:rPr>
      </w:pPr>
      <w:r>
        <w:rPr>
          <w:lang w:eastAsia="en-IN"/>
        </w:rPr>
        <w:t>4.2 Call flow details of FT from 802</w:t>
      </w:r>
      <w:r w:rsidRPr="00A959C4">
        <w:rPr>
          <w:lang w:eastAsia="en-IN"/>
        </w:rPr>
        <w:t>.</w:t>
      </w:r>
      <w:r w:rsidR="00F27913">
        <w:rPr>
          <w:lang w:eastAsia="en-IN"/>
        </w:rPr>
        <w:t>11</w:t>
      </w:r>
    </w:p>
    <w:p w14:paraId="769A94C7" w14:textId="1E301EC4" w:rsidR="00D06626" w:rsidRDefault="00F27913" w:rsidP="00F1329A">
      <w:pPr>
        <w:rPr>
          <w:lang w:eastAsia="en-IN"/>
        </w:rPr>
      </w:pPr>
      <w:r>
        <w:rPr>
          <w:lang w:eastAsia="en-IN"/>
        </w:rPr>
        <w:t>In this section, we copied the relevant text the 802.11 specs to understand the FT flow better</w:t>
      </w:r>
    </w:p>
    <w:p w14:paraId="40EA019C" w14:textId="77777777" w:rsidR="006D43F1" w:rsidRDefault="006D43F1" w:rsidP="006D43F1">
      <w:pPr>
        <w:ind w:firstLine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Chapter 13:</w:t>
      </w:r>
    </w:p>
    <w:p w14:paraId="6C4C82AE" w14:textId="77777777" w:rsidR="006D43F1" w:rsidRP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6D43F1">
        <w:rPr>
          <w:rFonts w:ascii="TimesNewRoman" w:eastAsia="TimesNewRoman" w:cs="TimesNewRoman"/>
          <w:i/>
          <w:iCs/>
        </w:rPr>
        <w:t xml:space="preserve">Fast BSS transition </w:t>
      </w:r>
      <w:proofErr w:type="gramStart"/>
      <w:r w:rsidRPr="006D43F1">
        <w:rPr>
          <w:rFonts w:ascii="TimesNewRoman" w:eastAsia="TimesNewRoman" w:cs="TimesNewRoman"/>
          <w:i/>
          <w:iCs/>
        </w:rPr>
        <w:t>seeks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to reduce the length of time that connectivity is lost between a STA and the DS during a BSS transition. </w:t>
      </w:r>
      <w:r w:rsidRPr="006D43F1">
        <w:rPr>
          <w:rFonts w:ascii="TimesNewRoman" w:eastAsia="TimesNewRoman" w:cs="TimesNewRoman"/>
          <w:i/>
          <w:iCs/>
          <w:highlight w:val="yellow"/>
        </w:rPr>
        <w:t>The FT protocols are part of the reassociation service and only apply to STA transitions between APs within the same mobility domain within the same ESS.</w:t>
      </w:r>
    </w:p>
    <w:p w14:paraId="43193C20" w14:textId="77777777" w:rsidR="006D43F1" w:rsidRP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6D43F1">
        <w:rPr>
          <w:rFonts w:ascii="TimesNewRoman" w:eastAsia="TimesNewRoman" w:cs="TimesNewRoman"/>
          <w:i/>
          <w:iCs/>
        </w:rPr>
        <w:t xml:space="preserve">The FT protocols require information to be exchanged during the </w:t>
      </w:r>
      <w:proofErr w:type="gramStart"/>
      <w:r w:rsidRPr="006D43F1">
        <w:rPr>
          <w:rFonts w:ascii="TimesNewRoman" w:eastAsia="TimesNewRoman" w:cs="TimesNewRoman"/>
          <w:i/>
          <w:iCs/>
        </w:rPr>
        <w:t>initial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association (or a later reassociation) </w:t>
      </w:r>
      <w:r w:rsidRPr="006D43F1">
        <w:rPr>
          <w:rFonts w:ascii="TimesNewRoman" w:eastAsia="TimesNewRoman" w:cs="TimesNewRoman"/>
          <w:i/>
          <w:iCs/>
          <w:highlight w:val="yellow"/>
        </w:rPr>
        <w:t xml:space="preserve">between a STA [known as the </w:t>
      </w:r>
      <w:r w:rsidRPr="006D43F1">
        <w:rPr>
          <w:rFonts w:ascii="TimesNewRoman,Italic" w:eastAsia="TimesNewRoman,Italic" w:cs="TimesNewRoman,Italic"/>
          <w:i/>
          <w:iCs/>
          <w:highlight w:val="yellow"/>
        </w:rPr>
        <w:t xml:space="preserve">FT Originator </w:t>
      </w:r>
      <w:r w:rsidRPr="006D43F1">
        <w:rPr>
          <w:rFonts w:ascii="TimesNewRoman" w:eastAsia="TimesNewRoman" w:cs="TimesNewRoman"/>
          <w:i/>
          <w:iCs/>
          <w:highlight w:val="yellow"/>
        </w:rPr>
        <w:t>(FTO)] and AP</w:t>
      </w:r>
      <w:r w:rsidRPr="006D43F1">
        <w:rPr>
          <w:rFonts w:ascii="TimesNewRoman" w:eastAsia="TimesNewRoman" w:cs="TimesNewRoman"/>
          <w:i/>
          <w:iCs/>
        </w:rPr>
        <w:t xml:space="preserve">. The </w:t>
      </w:r>
      <w:proofErr w:type="gramStart"/>
      <w:r w:rsidRPr="006D43F1">
        <w:rPr>
          <w:rFonts w:ascii="TimesNewRoman" w:eastAsia="TimesNewRoman" w:cs="TimesNewRoman"/>
          <w:i/>
          <w:iCs/>
        </w:rPr>
        <w:t>initial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exchange is referred to as the </w:t>
      </w:r>
      <w:proofErr w:type="spellStart"/>
      <w:r w:rsidRPr="006D43F1">
        <w:rPr>
          <w:rFonts w:ascii="TimesNewRoman,Italic" w:eastAsia="TimesNewRoman,Italic" w:cs="TimesNewRoman,Italic"/>
          <w:i/>
          <w:iCs/>
        </w:rPr>
        <w:t>FTinitial</w:t>
      </w:r>
      <w:proofErr w:type="spellEnd"/>
      <w:r w:rsidRPr="006D43F1">
        <w:rPr>
          <w:rFonts w:ascii="TimesNewRoman,Italic" w:eastAsia="TimesNewRoman,Italic" w:cs="TimesNewRoman,Italic"/>
          <w:i/>
          <w:iCs/>
        </w:rPr>
        <w:t xml:space="preserve"> mobility domain association</w:t>
      </w:r>
      <w:r w:rsidRPr="006D43F1">
        <w:rPr>
          <w:rFonts w:ascii="TimesNewRoman" w:eastAsia="TimesNewRoman" w:cs="TimesNewRoman"/>
          <w:i/>
          <w:iCs/>
        </w:rPr>
        <w:t xml:space="preserve">. </w:t>
      </w:r>
      <w:proofErr w:type="gramStart"/>
      <w:r w:rsidRPr="006D43F1">
        <w:rPr>
          <w:rFonts w:ascii="TimesNewRoman" w:eastAsia="TimesNewRoman" w:cs="TimesNewRoman"/>
          <w:i/>
          <w:iCs/>
        </w:rPr>
        <w:t>Subsequent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reassociations to APs within the same mobility domain </w:t>
      </w:r>
      <w:proofErr w:type="spellStart"/>
      <w:r w:rsidRPr="006D43F1">
        <w:rPr>
          <w:rFonts w:ascii="TimesNewRoman" w:eastAsia="TimesNewRoman" w:cs="TimesNewRoman"/>
          <w:i/>
          <w:iCs/>
        </w:rPr>
        <w:t>maymake</w:t>
      </w:r>
      <w:proofErr w:type="spellEnd"/>
      <w:r w:rsidRPr="006D43F1">
        <w:rPr>
          <w:rFonts w:ascii="TimesNewRoman" w:eastAsia="TimesNewRoman" w:cs="TimesNewRoman"/>
          <w:i/>
          <w:iCs/>
        </w:rPr>
        <w:t xml:space="preserve"> use of the FT protocols.</w:t>
      </w:r>
    </w:p>
    <w:p w14:paraId="2307D511" w14:textId="77777777" w:rsid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</w:rPr>
      </w:pPr>
      <w:r w:rsidRPr="006D43F1">
        <w:rPr>
          <w:rFonts w:ascii="TimesNewRoman" w:eastAsia="TimesNewRoman" w:cs="TimesNewRoman"/>
          <w:i/>
          <w:iCs/>
          <w:highlight w:val="yellow"/>
        </w:rPr>
        <w:t>APs advertise both capabilities and policies for supporting the FT protocols and methods</w:t>
      </w:r>
      <w:r w:rsidRPr="006D43F1">
        <w:rPr>
          <w:rFonts w:ascii="TimesNewRoman" w:eastAsia="TimesNewRoman" w:cs="TimesNewRoman"/>
          <w:i/>
          <w:iCs/>
        </w:rPr>
        <w:t>.</w:t>
      </w:r>
    </w:p>
    <w:p w14:paraId="7E85C54A" w14:textId="77777777" w:rsidR="006D43F1" w:rsidRDefault="006D43F1" w:rsidP="006D43F1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6CEE9919" w14:textId="6474AC93" w:rsidR="006D43F1" w:rsidRDefault="00D56793" w:rsidP="006D43F1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ab/>
      </w:r>
      <w:r>
        <w:rPr>
          <w:rFonts w:ascii="TimesNewRoman" w:eastAsia="TimesNewRoman" w:cs="TimesNewRoman"/>
        </w:rPr>
        <w:tab/>
      </w:r>
    </w:p>
    <w:p w14:paraId="18743F9B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Arial,Bold" w:eastAsia="Arial,Bold" w:cs="Arial,Bold"/>
          <w:b/>
          <w:bCs/>
          <w:i/>
          <w:iCs/>
        </w:rPr>
      </w:pPr>
      <w:r w:rsidRPr="00D56793">
        <w:rPr>
          <w:rFonts w:ascii="Arial,Bold" w:eastAsia="Arial,Bold" w:cs="Arial,Bold"/>
          <w:b/>
          <w:bCs/>
          <w:i/>
          <w:iCs/>
        </w:rPr>
        <w:t>13.2.2 Authenticator key holders</w:t>
      </w:r>
    </w:p>
    <w:p w14:paraId="1F9EABA7" w14:textId="5DECE660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  <w:highlight w:val="yellow"/>
        </w:rPr>
        <w:t xml:space="preserve">The R0KH and R1KH </w:t>
      </w:r>
      <w:proofErr w:type="gramStart"/>
      <w:r w:rsidRPr="00D56793">
        <w:rPr>
          <w:rFonts w:ascii="TimesNewRoman" w:eastAsia="TimesNewRoman" w:cs="TimesNewRoman"/>
          <w:i/>
          <w:iCs/>
          <w:highlight w:val="yellow"/>
        </w:rPr>
        <w:t>are responsible for</w:t>
      </w:r>
      <w:proofErr w:type="gramEnd"/>
      <w:r w:rsidRPr="00D56793">
        <w:rPr>
          <w:rFonts w:ascii="TimesNewRoman" w:eastAsia="TimesNewRoman" w:cs="TimesNewRoman"/>
          <w:i/>
          <w:iCs/>
          <w:highlight w:val="yellow"/>
        </w:rPr>
        <w:t xml:space="preserve"> the derivation of keys in the FT key hierarchy</w:t>
      </w:r>
      <w:r w:rsidRPr="00D56793">
        <w:rPr>
          <w:rFonts w:ascii="TimesNewRoman" w:eastAsia="TimesNewRoman" w:cs="TimesNewRoman"/>
          <w:i/>
          <w:iCs/>
        </w:rPr>
        <w:t xml:space="preserve">. For fast BSS transition, the functions of the IEEE 802.1X Authenticator </w:t>
      </w:r>
      <w:proofErr w:type="gramStart"/>
      <w:r w:rsidRPr="00D56793">
        <w:rPr>
          <w:rFonts w:ascii="TimesNewRoman" w:eastAsia="TimesNewRoman" w:cs="TimesNewRoman"/>
          <w:i/>
          <w:iCs/>
        </w:rPr>
        <w:t>are distributed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among the R0KH and R1KHs.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The </w:t>
      </w:r>
      <w:r w:rsidRPr="00D56793">
        <w:rPr>
          <w:rFonts w:ascii="TimesNewRoman" w:eastAsia="TimesNewRoman" w:cs="TimesNewRoman"/>
          <w:i/>
          <w:iCs/>
          <w:highlight w:val="yellow"/>
        </w:rPr>
        <w:t xml:space="preserve">R0KH interacts with the IEEE 802.1X Authenticator to receive the </w:t>
      </w:r>
      <w:proofErr w:type="spellStart"/>
      <w:r w:rsidRPr="00D56793">
        <w:rPr>
          <w:rFonts w:ascii="TimesNewRoman" w:eastAsia="TimesNewRoman" w:cs="TimesNewRoman"/>
          <w:i/>
          <w:iCs/>
          <w:highlight w:val="yellow"/>
        </w:rPr>
        <w:t>MSK</w:t>
      </w:r>
      <w:proofErr w:type="spellEnd"/>
      <w:r w:rsidRPr="00D56793">
        <w:rPr>
          <w:rFonts w:ascii="TimesNewRoman" w:eastAsia="TimesNewRoman" w:cs="TimesNewRoman"/>
          <w:i/>
          <w:iCs/>
          <w:highlight w:val="yellow"/>
        </w:rPr>
        <w:t xml:space="preserve"> resulting from an EAP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authentication. </w:t>
      </w:r>
      <w:r w:rsidRPr="00D56793">
        <w:rPr>
          <w:rFonts w:ascii="TimesNewRoman" w:eastAsia="TimesNewRoman" w:cs="TimesNewRoman"/>
          <w:i/>
          <w:iCs/>
          <w:highlight w:val="yellow"/>
        </w:rPr>
        <w:t>The R1KH interacts with the IEEE 802.1X Authenticator to open the Controlled Port.</w:t>
      </w:r>
      <w:r w:rsidRPr="00D56793">
        <w:rPr>
          <w:rFonts w:ascii="TimesNewRoman" w:eastAsia="TimesNewRoman" w:cs="TimesNewRoman"/>
          <w:i/>
          <w:iCs/>
        </w:rPr>
        <w:t xml:space="preserve"> 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Both the R0KH and R1KH interactions with the IEEE 802.1X Authenticator occur within the </w:t>
      </w:r>
      <w:proofErr w:type="spellStart"/>
      <w:r w:rsidRPr="00D56793">
        <w:rPr>
          <w:rFonts w:ascii="TimesNewRoman" w:eastAsia="TimesNewRoman" w:cs="TimesNewRoman"/>
          <w:i/>
          <w:iCs/>
        </w:rPr>
        <w:t>SME.The</w:t>
      </w:r>
      <w:proofErr w:type="spellEnd"/>
      <w:r w:rsidRPr="00D56793">
        <w:rPr>
          <w:rFonts w:ascii="TimesNewRoman" w:eastAsia="TimesNewRoman" w:cs="TimesNewRoman"/>
          <w:i/>
          <w:iCs/>
        </w:rPr>
        <w:t xml:space="preserve"> R0KH derives the PMK-R0 for use in the mobility domain </w:t>
      </w:r>
      <w:proofErr w:type="gramStart"/>
      <w:r w:rsidRPr="00D56793">
        <w:rPr>
          <w:rFonts w:ascii="TimesNewRoman" w:eastAsia="TimesNewRoman" w:cs="TimesNewRoman"/>
          <w:i/>
          <w:iCs/>
        </w:rPr>
        <w:t>utilizing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D56793">
        <w:rPr>
          <w:rFonts w:ascii="TimesNewRoman" w:eastAsia="TimesNewRoman" w:cs="TimesNewRoman"/>
          <w:i/>
          <w:iCs/>
        </w:rPr>
        <w:t>MSK</w:t>
      </w:r>
      <w:proofErr w:type="spellEnd"/>
      <w:r w:rsidRPr="00D56793">
        <w:rPr>
          <w:rFonts w:ascii="TimesNewRoman" w:eastAsia="TimesNewRoman" w:cs="TimesNewRoman"/>
          <w:i/>
          <w:iCs/>
        </w:rPr>
        <w:t xml:space="preserve"> . The R0KH shall </w:t>
      </w:r>
      <w:proofErr w:type="gramStart"/>
      <w:r w:rsidRPr="00D56793">
        <w:rPr>
          <w:rFonts w:ascii="TimesNewRoman" w:eastAsia="TimesNewRoman" w:cs="TimesNewRoman"/>
          <w:i/>
          <w:iCs/>
        </w:rPr>
        <w:t>be responsible for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deriving a PMK-R1 for each R1KH within the mobility domain.</w:t>
      </w:r>
    </w:p>
    <w:p w14:paraId="373E46E8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  <w:highlight w:val="yellow"/>
        </w:rPr>
        <w:t xml:space="preserve">Each R0KH-ID and R1KH-ID </w:t>
      </w:r>
      <w:proofErr w:type="gramStart"/>
      <w:r w:rsidRPr="00D56793">
        <w:rPr>
          <w:rFonts w:ascii="TimesNewRoman" w:eastAsia="TimesNewRoman" w:cs="TimesNewRoman"/>
          <w:i/>
          <w:iCs/>
          <w:highlight w:val="yellow"/>
        </w:rPr>
        <w:t>is assumed</w:t>
      </w:r>
      <w:proofErr w:type="gramEnd"/>
      <w:r w:rsidRPr="00D56793">
        <w:rPr>
          <w:rFonts w:ascii="TimesNewRoman" w:eastAsia="TimesNewRoman" w:cs="TimesNewRoman"/>
          <w:i/>
          <w:iCs/>
          <w:highlight w:val="yellow"/>
        </w:rPr>
        <w:t xml:space="preserve"> to be expressed as a unique identifier within the mobility domain.</w:t>
      </w:r>
      <w:r w:rsidRPr="00D56793">
        <w:rPr>
          <w:rFonts w:ascii="TimesNewRoman" w:eastAsia="TimesNewRoman" w:cs="TimesNewRoman"/>
          <w:i/>
          <w:iCs/>
        </w:rPr>
        <w:t xml:space="preserve"> This identifier </w:t>
      </w:r>
      <w:proofErr w:type="gramStart"/>
      <w:r w:rsidRPr="00D56793">
        <w:rPr>
          <w:rFonts w:ascii="TimesNewRoman" w:eastAsia="TimesNewRoman" w:cs="TimesNewRoman"/>
          <w:i/>
          <w:iCs/>
        </w:rPr>
        <w:t>is communicated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to the FTO and other key holders. The R0KH-ID is bound into the PMK-R0 </w:t>
      </w:r>
      <w:proofErr w:type="gramStart"/>
      <w:r w:rsidRPr="00D56793">
        <w:rPr>
          <w:rFonts w:ascii="TimesNewRoman" w:eastAsia="TimesNewRoman" w:cs="TimesNewRoman"/>
          <w:i/>
          <w:iCs/>
        </w:rPr>
        <w:t>derivation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and the R1KH-ID is bound into the PMK-R1 derivation.</w:t>
      </w:r>
    </w:p>
    <w:p w14:paraId="6B32FE8E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</w:p>
    <w:p w14:paraId="1E5C8A58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</w:rPr>
        <w:t xml:space="preserve">The R0KH and the R1KH </w:t>
      </w:r>
      <w:proofErr w:type="gramStart"/>
      <w:r w:rsidRPr="00D56793">
        <w:rPr>
          <w:rFonts w:ascii="TimesNewRoman" w:eastAsia="TimesNewRoman" w:cs="TimesNewRoman"/>
          <w:i/>
          <w:iCs/>
        </w:rPr>
        <w:t>are assumed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to have a secure channel between them that can be used to exchange cryptographic keys without exposure to any intermediate parties. The protocol</w:t>
      </w:r>
    </w:p>
    <w:p w14:paraId="5F341614" w14:textId="77777777" w:rsidR="006D43F1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</w:rPr>
      </w:pPr>
      <w:r w:rsidRPr="00D56793">
        <w:rPr>
          <w:rFonts w:ascii="TimesNewRoman" w:eastAsia="TimesNewRoman" w:cs="TimesNewRoman"/>
          <w:i/>
          <w:iCs/>
        </w:rPr>
        <w:t>for distribution of keying material from the R0KH to the R1KH is outside the scope of this standard.</w:t>
      </w:r>
    </w:p>
    <w:p w14:paraId="54427A4C" w14:textId="77777777" w:rsidR="00F27913" w:rsidRDefault="00F27913" w:rsidP="00F1329A">
      <w:pPr>
        <w:rPr>
          <w:lang w:eastAsia="en-IN"/>
        </w:rPr>
      </w:pPr>
    </w:p>
    <w:p w14:paraId="31BE6D3C" w14:textId="77777777" w:rsidR="00916BDB" w:rsidRDefault="00916BDB" w:rsidP="00F1329A">
      <w:pPr>
        <w:rPr>
          <w:lang w:eastAsia="en-IN"/>
        </w:rPr>
      </w:pPr>
    </w:p>
    <w:p w14:paraId="29789082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>13.3 Capability and policy advertisement</w:t>
      </w:r>
    </w:p>
    <w:p w14:paraId="114C8D04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lastRenderedPageBreak/>
        <w:t xml:space="preserve">The FT capability </w:t>
      </w:r>
      <w:proofErr w:type="gramStart"/>
      <w:r w:rsidRPr="00916BDB">
        <w:rPr>
          <w:rFonts w:ascii="TimesNewRoman" w:eastAsia="TimesNewRoman" w:cs="TimesNewRoman"/>
          <w:i/>
          <w:iCs/>
        </w:rPr>
        <w:t>is advertised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in the Beacon and Probe Response frames by including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. </w:t>
      </w:r>
      <w:r w:rsidRPr="00916BDB">
        <w:rPr>
          <w:rFonts w:ascii="TimesNewRoman" w:eastAsia="TimesNewRoman" w:cs="TimesNewRoman"/>
          <w:i/>
          <w:iCs/>
          <w:highlight w:val="yellow"/>
        </w:rPr>
        <w:t xml:space="preserve">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 is advertised in the Beacon and Probe Response frames to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indicate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MDID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 FT capability, and the FT policy</w:t>
      </w:r>
      <w:r w:rsidRPr="00916BDB">
        <w:rPr>
          <w:rFonts w:ascii="TimesNewRoman" w:eastAsia="TimesNewRoman" w:cs="TimesNewRoman"/>
          <w:i/>
          <w:iCs/>
        </w:rPr>
        <w:t>.</w:t>
      </w:r>
    </w:p>
    <w:p w14:paraId="40CA985D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 xml:space="preserve">13.4.2 FT </w:t>
      </w:r>
      <w:proofErr w:type="gramStart"/>
      <w:r w:rsidRPr="00916BDB">
        <w:rPr>
          <w:rFonts w:ascii="TimesNewRoman" w:eastAsia="TimesNewRoman" w:cs="TimesNewRoman"/>
          <w:i/>
          <w:iCs/>
        </w:rPr>
        <w:t>initial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mobility domain association in an </w:t>
      </w:r>
      <w:proofErr w:type="spellStart"/>
      <w:r w:rsidRPr="00916BDB">
        <w:rPr>
          <w:rFonts w:ascii="TimesNewRoman" w:eastAsia="TimesNewRoman" w:cs="TimesNewRoman"/>
          <w:i/>
          <w:iCs/>
        </w:rPr>
        <w:t>RSN</w:t>
      </w:r>
      <w:proofErr w:type="spellEnd"/>
    </w:p>
    <w:p w14:paraId="3743ED52" w14:textId="67C22FFC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noProof/>
        </w:rPr>
        <w:drawing>
          <wp:inline distT="0" distB="0" distL="0" distR="0" wp14:anchorId="22F549C0" wp14:editId="1FB7BAF4">
            <wp:extent cx="5731510" cy="3908425"/>
            <wp:effectExtent l="0" t="0" r="2540" b="0"/>
            <wp:docPr id="1494404059" name="Picture 1" descr="A diagram of a data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04059" name="Picture 1" descr="A diagram of a data flow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42BD8" w14:textId="77777777" w:rsidR="00916BDB" w:rsidRDefault="00916BDB" w:rsidP="00916BDB">
      <w:pPr>
        <w:autoSpaceDE w:val="0"/>
        <w:autoSpaceDN w:val="0"/>
        <w:adjustRightInd w:val="0"/>
        <w:spacing w:after="0"/>
        <w:rPr>
          <w:lang w:val="en-US"/>
        </w:rPr>
      </w:pPr>
    </w:p>
    <w:p w14:paraId="0942DB22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highlight w:val="yellow"/>
        </w:rPr>
        <w:t xml:space="preserve">0 The FT capability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is advertised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in the Beacon and Probe Response frames by including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.</w:t>
      </w:r>
      <w:r w:rsidRPr="00916BDB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is advertised in the Beacon and Probe Response frames to </w:t>
      </w:r>
      <w:proofErr w:type="gramStart"/>
      <w:r w:rsidRPr="00916BDB">
        <w:rPr>
          <w:rFonts w:ascii="TimesNewRoman" w:eastAsia="TimesNewRoman" w:cs="TimesNewRoman"/>
          <w:i/>
          <w:iCs/>
        </w:rPr>
        <w:t>indicate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</w:rPr>
        <w:t>MDID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, FT capability, and the FT policy. (If an FTE is included in a Request element in a Probe Request frame, the FTE in the Probe Response frame shall </w:t>
      </w:r>
      <w:proofErr w:type="gramStart"/>
      <w:r w:rsidRPr="00916BDB">
        <w:rPr>
          <w:rFonts w:ascii="TimesNewRoman" w:eastAsia="TimesNewRoman" w:cs="TimesNewRoman"/>
          <w:i/>
          <w:iCs/>
        </w:rPr>
        <w:t>contain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the R0KH-ID and R1KH-ID (from dot11FTR0KeyHolderID and dot11FTR1KeyHolderID), and all other fields shall be set to 0.)</w:t>
      </w:r>
    </w:p>
    <w:p w14:paraId="64DD5CC6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1B3D0554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 xml:space="preserve">1,2 Upon successful IEEE 802.11 Open System or SAE authentication, if using a suite type for which the Authentication type column </w:t>
      </w:r>
      <w:proofErr w:type="gramStart"/>
      <w:r w:rsidRPr="00916BDB">
        <w:rPr>
          <w:rFonts w:ascii="TimesNewRoman" w:eastAsia="TimesNewRoman" w:cs="TimesNewRoman"/>
          <w:i/>
          <w:iCs/>
        </w:rPr>
        <w:t>indicates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FT authentication (see Table 9-151), </w:t>
      </w:r>
    </w:p>
    <w:p w14:paraId="21A44067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0F02227D" w14:textId="668BF0DD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highlight w:val="yellow"/>
        </w:rPr>
        <w:t xml:space="preserve">3: the STA shall send a(Re)Association Request frame to the AP that includes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. The contents of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 shall be the values advertised by the AP in its Beacon or Probe Response frames. Additionally, the STA includes its security capabilities in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RSNE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.</w:t>
      </w:r>
    </w:p>
    <w:p w14:paraId="5FF1C703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i/>
          <w:iCs/>
          <w:lang w:val="en-US"/>
        </w:rPr>
      </w:pPr>
    </w:p>
    <w:p w14:paraId="596CA15E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i/>
          <w:iCs/>
          <w:lang w:val="en-US"/>
        </w:rPr>
      </w:pPr>
    </w:p>
    <w:p w14:paraId="377786D7" w14:textId="35477B65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i/>
          <w:iCs/>
          <w:lang w:val="en-US"/>
        </w:rPr>
        <w:t xml:space="preserve">4: </w:t>
      </w:r>
      <w:r w:rsidRPr="00916BDB">
        <w:rPr>
          <w:rFonts w:ascii="TimesNewRoman" w:eastAsia="TimesNewRoman" w:cs="TimesNewRoman"/>
          <w:i/>
          <w:iCs/>
        </w:rPr>
        <w:t xml:space="preserve">If the contents of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received by the AP do not match the contents advertised in the Beacon and Probe Response frames, the AP shall reject the (Re)Association Request frame with status </w:t>
      </w:r>
      <w:proofErr w:type="spellStart"/>
      <w:r w:rsidRPr="00916BDB">
        <w:rPr>
          <w:rFonts w:ascii="TimesNewRoman" w:eastAsia="TimesNewRoman" w:cs="TimesNewRoman"/>
          <w:i/>
          <w:iCs/>
        </w:rPr>
        <w:t>codeSTATUS_INVALID_MDE</w:t>
      </w:r>
      <w:proofErr w:type="spellEnd"/>
      <w:r w:rsidRPr="00916BDB">
        <w:rPr>
          <w:rFonts w:ascii="TimesNewRoman" w:eastAsia="TimesNewRoman" w:cs="TimesNewRoman"/>
          <w:i/>
          <w:iCs/>
        </w:rPr>
        <w:t>.</w:t>
      </w:r>
      <w:r>
        <w:rPr>
          <w:rFonts w:ascii="TimesNewRoman" w:eastAsia="TimesNewRoman" w:cs="TimesNewRoman"/>
          <w:i/>
          <w:iCs/>
        </w:rPr>
        <w:t xml:space="preserve"> </w:t>
      </w:r>
    </w:p>
    <w:p w14:paraId="7F7CAAF6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>The (</w:t>
      </w:r>
      <w:r w:rsidRPr="00916BDB">
        <w:rPr>
          <w:rFonts w:ascii="TimesNewRoman" w:eastAsia="TimesNewRoman" w:cs="TimesNewRoman"/>
          <w:i/>
          <w:iCs/>
          <w:highlight w:val="yellow"/>
        </w:rPr>
        <w:t xml:space="preserve">Re)Association Response frame from the AP shall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contain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an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 with</w:t>
      </w:r>
      <w:r w:rsidRPr="00916BDB">
        <w:rPr>
          <w:rFonts w:ascii="TimesNewRoman" w:eastAsia="TimesNewRoman" w:cs="TimesNewRoman"/>
          <w:i/>
          <w:iCs/>
        </w:rPr>
        <w:t xml:space="preserve"> contents as presented in Beacon and Probe Response frames. </w:t>
      </w:r>
      <w:r w:rsidRPr="00916BDB">
        <w:rPr>
          <w:rFonts w:ascii="TimesNewRoman" w:eastAsia="TimesNewRoman" w:cs="TimesNewRoman"/>
          <w:i/>
          <w:iCs/>
          <w:highlight w:val="yellow"/>
        </w:rPr>
        <w:t>The FTE shall include the key holder identities of the AP, the R0KH-IDand R1KH-ID, set to the values of dot11FTR0KeyHolderID and dot11FTR1KeyHolderID, respective</w:t>
      </w:r>
      <w:r w:rsidRPr="00916BDB">
        <w:rPr>
          <w:rFonts w:ascii="TimesNewRoman" w:eastAsia="TimesNewRoman" w:cs="TimesNewRoman"/>
          <w:i/>
          <w:iCs/>
        </w:rPr>
        <w:t>ly.</w:t>
      </w:r>
    </w:p>
    <w:p w14:paraId="6CB79CCB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5B071AA5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lastRenderedPageBreak/>
        <w:t xml:space="preserve">FTE shall have a MIC element count of zero (i.e., no MIC present) and have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ANonce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,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SNonce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</w:t>
      </w:r>
      <w:r w:rsidRPr="00916BDB">
        <w:rPr>
          <w:rFonts w:ascii="TimesNewRoman" w:eastAsia="TimesNewRoman" w:cs="TimesNewRoman"/>
          <w:i/>
          <w:iCs/>
        </w:rPr>
        <w:t xml:space="preserve"> and MIC fields set to 0.</w:t>
      </w:r>
    </w:p>
    <w:p w14:paraId="3A96125E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2A4B859A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 w:rsidRPr="00916BDB">
        <w:rPr>
          <w:rFonts w:ascii="TimesNewRoman" w:eastAsia="TimesNewRoman" w:cs="TimesNewRoman"/>
          <w:i/>
          <w:iCs/>
        </w:rPr>
        <w:t xml:space="preserve">5: Authentication: On successful (re)association, the S0KH on the STA and the R0KH on the AP then </w:t>
      </w:r>
      <w:proofErr w:type="gramStart"/>
      <w:r w:rsidRPr="00916BDB">
        <w:rPr>
          <w:rFonts w:ascii="TimesNewRoman" w:eastAsia="TimesNewRoman" w:cs="TimesNewRoman"/>
          <w:i/>
          <w:iCs/>
        </w:rPr>
        <w:t>proceed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with an IEEE 802.1X authentication using </w:t>
      </w:r>
      <w:proofErr w:type="spellStart"/>
      <w:r w:rsidRPr="00916BDB">
        <w:rPr>
          <w:rFonts w:ascii="TimesNewRoman" w:eastAsia="TimesNewRoman" w:cs="TimesNewRoman"/>
          <w:i/>
          <w:iCs/>
        </w:rPr>
        <w:t>EAPOL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PDUs carried in IEEE 802.11 Data frames if SAE authentication was not performed (</w:t>
      </w:r>
    </w:p>
    <w:p w14:paraId="2E513C8A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7D8C3A91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07AFD4F9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If IEEE 802.1X authentication was performed, </w:t>
      </w:r>
      <w:r w:rsidRPr="003C5C2F">
        <w:rPr>
          <w:rFonts w:ascii="TimesNewRoman" w:eastAsia="TimesNewRoman" w:cs="TimesNewRoman"/>
          <w:highlight w:val="yellow"/>
        </w:rPr>
        <w:t>then upon successful completion of authentication</w:t>
      </w:r>
      <w:r>
        <w:rPr>
          <w:rFonts w:ascii="TimesNewRoman" w:eastAsia="TimesNewRoman" w:cs="TimesNewRoman"/>
        </w:rPr>
        <w:t xml:space="preserve">, </w:t>
      </w:r>
      <w:r w:rsidRPr="003C5C2F">
        <w:rPr>
          <w:rFonts w:ascii="TimesNewRoman" w:eastAsia="TimesNewRoman" w:cs="TimesNewRoman"/>
          <w:highlight w:val="yellow"/>
        </w:rPr>
        <w:t xml:space="preserve">the R0KH receives the </w:t>
      </w:r>
      <w:proofErr w:type="spellStart"/>
      <w:r w:rsidRPr="003C5C2F">
        <w:rPr>
          <w:rFonts w:ascii="TimesNewRoman" w:eastAsia="TimesNewRoman" w:cs="TimesNewRoman"/>
          <w:highlight w:val="yellow"/>
        </w:rPr>
        <w:t>MSK</w:t>
      </w:r>
      <w:proofErr w:type="spellEnd"/>
      <w:r w:rsidRPr="003C5C2F">
        <w:rPr>
          <w:rFonts w:ascii="TimesNewRoman" w:eastAsia="TimesNewRoman" w:cs="TimesNewRoman"/>
          <w:highlight w:val="yellow"/>
        </w:rPr>
        <w:t xml:space="preserve"> and authorization </w:t>
      </w:r>
      <w:proofErr w:type="gramStart"/>
      <w:r w:rsidRPr="003C5C2F">
        <w:rPr>
          <w:rFonts w:ascii="TimesNewRoman" w:eastAsia="TimesNewRoman" w:cs="TimesNewRoman"/>
          <w:highlight w:val="yellow"/>
        </w:rPr>
        <w:t>attributes</w:t>
      </w:r>
      <w:r>
        <w:rPr>
          <w:rFonts w:ascii="TimesNewRoman" w:eastAsia="TimesNewRoman" w:cs="TimesNewRoman"/>
        </w:rPr>
        <w:t>..</w:t>
      </w:r>
      <w:proofErr w:type="gramEnd"/>
      <w:r>
        <w:rPr>
          <w:rFonts w:ascii="TimesNewRoman" w:eastAsia="TimesNewRoman" w:cs="TimesNewRoman"/>
        </w:rPr>
        <w:t xml:space="preserve"> If a key hierarchy already exists for this STA belonging to the same mobility domain (i.e., having the same </w:t>
      </w:r>
      <w:proofErr w:type="spellStart"/>
      <w:r>
        <w:rPr>
          <w:rFonts w:ascii="TimesNewRoman" w:eastAsia="TimesNewRoman" w:cs="TimesNewRoman"/>
        </w:rPr>
        <w:t>MDID</w:t>
      </w:r>
      <w:proofErr w:type="spellEnd"/>
      <w:r>
        <w:rPr>
          <w:rFonts w:ascii="TimesNewRoman" w:eastAsia="TimesNewRoman" w:cs="TimesNewRoman"/>
        </w:rPr>
        <w:t xml:space="preserve">), </w:t>
      </w:r>
      <w:r w:rsidRPr="003C5C2F">
        <w:rPr>
          <w:rFonts w:ascii="TimesNewRoman" w:eastAsia="TimesNewRoman" w:cs="TimesNewRoman"/>
          <w:highlight w:val="yellow"/>
        </w:rPr>
        <w:t xml:space="preserve">the R0KH shall </w:t>
      </w:r>
      <w:proofErr w:type="gramStart"/>
      <w:r w:rsidRPr="003C5C2F">
        <w:rPr>
          <w:rFonts w:ascii="TimesNewRoman" w:eastAsia="TimesNewRoman" w:cs="TimesNewRoman"/>
          <w:highlight w:val="yellow"/>
        </w:rPr>
        <w:t>delete</w:t>
      </w:r>
      <w:proofErr w:type="gramEnd"/>
      <w:r w:rsidRPr="003C5C2F">
        <w:rPr>
          <w:rFonts w:ascii="TimesNewRoman" w:eastAsia="TimesNewRoman" w:cs="TimesNewRoman"/>
          <w:highlight w:val="yellow"/>
        </w:rPr>
        <w:t xml:space="preserve"> the existing PMK-R0 security association and PMK-R1 security associations. It then calculates the PMK-R0, PMKR0Name, and PMK-R1</w:t>
      </w:r>
      <w:r>
        <w:rPr>
          <w:rFonts w:ascii="TimesNewRoman" w:eastAsia="TimesNewRoman" w:cs="TimesNewRoman"/>
        </w:rPr>
        <w:t xml:space="preserve"> and </w:t>
      </w:r>
      <w:r w:rsidRPr="006524B8">
        <w:rPr>
          <w:rFonts w:ascii="TimesNewRoman" w:eastAsia="TimesNewRoman" w:cs="TimesNewRoman"/>
          <w:highlight w:val="yellow"/>
        </w:rPr>
        <w:t>makes the PMK-R1 available to the R1KH of the</w:t>
      </w:r>
      <w:r>
        <w:rPr>
          <w:rFonts w:ascii="TimesNewRoman" w:eastAsia="TimesNewRoman" w:cs="TimesNewRoman"/>
        </w:rPr>
        <w:t xml:space="preserve"> AP with which the STA is associated.</w:t>
      </w:r>
    </w:p>
    <w:p w14:paraId="7F8A1784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FB5129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109743F0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If 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 w:rsidRPr="00DB2076">
        <w:rPr>
          <w:rFonts w:ascii="TimesNewRoman" w:eastAsia="TimesNewRoman" w:cs="TimesNewRoman"/>
          <w:highlight w:val="yellow"/>
        </w:rPr>
        <w:t xml:space="preserve"> lifetime attribute </w:t>
      </w:r>
      <w:proofErr w:type="gramStart"/>
      <w:r w:rsidRPr="00DB2076">
        <w:rPr>
          <w:rFonts w:ascii="TimesNewRoman" w:eastAsia="TimesNewRoman" w:cs="TimesNewRoman"/>
          <w:highlight w:val="yellow"/>
        </w:rPr>
        <w:t>is provided</w:t>
      </w:r>
      <w:proofErr w:type="gramEnd"/>
      <w:r w:rsidRPr="00DB2076">
        <w:rPr>
          <w:rFonts w:ascii="TimesNewRoman" w:eastAsia="TimesNewRoman" w:cs="TimesNewRoman"/>
          <w:highlight w:val="yellow"/>
        </w:rPr>
        <w:t xml:space="preserve"> by the AS, the lifetime of the PMK-R0 shall not be more than the lifetime of 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>
        <w:rPr>
          <w:rFonts w:ascii="TimesNewRoman" w:eastAsia="TimesNewRoman" w:cs="TimesNewRoman"/>
        </w:rPr>
        <w:t xml:space="preserve">. If </w:t>
      </w:r>
      <w:r w:rsidRPr="00DB2076">
        <w:rPr>
          <w:rFonts w:ascii="TimesNewRoman" w:eastAsia="TimesNewRoman" w:cs="TimesNewRoman"/>
          <w:highlight w:val="yellow"/>
        </w:rPr>
        <w:t xml:space="preserve">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 w:rsidRPr="00DB2076">
        <w:rPr>
          <w:rFonts w:ascii="TimesNewRoman" w:eastAsia="TimesNewRoman" w:cs="TimesNewRoman"/>
          <w:highlight w:val="yellow"/>
        </w:rPr>
        <w:t xml:space="preserve"> lifetime attribute </w:t>
      </w:r>
      <w:proofErr w:type="gramStart"/>
      <w:r w:rsidRPr="00DB2076">
        <w:rPr>
          <w:rFonts w:ascii="TimesNewRoman" w:eastAsia="TimesNewRoman" w:cs="TimesNewRoman"/>
          <w:highlight w:val="yellow"/>
        </w:rPr>
        <w:t>is not provided</w:t>
      </w:r>
      <w:proofErr w:type="gramEnd"/>
      <w:r w:rsidRPr="00DB2076">
        <w:rPr>
          <w:rFonts w:ascii="TimesNewRoman" w:eastAsia="TimesNewRoman" w:cs="TimesNewRoman"/>
          <w:highlight w:val="yellow"/>
        </w:rPr>
        <w:t>, the PMK</w:t>
      </w:r>
      <w:r>
        <w:rPr>
          <w:rFonts w:ascii="TimesNewRoman" w:eastAsia="TimesNewRoman" w:cs="TimesNewRoman"/>
        </w:rPr>
        <w:t>-R0 lifetime shall be dot11FTR0KeyLifetime.</w:t>
      </w:r>
    </w:p>
    <w:p w14:paraId="16160543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5D4A23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6,7,8,9: </w:t>
      </w:r>
      <w:proofErr w:type="gramStart"/>
      <w:r>
        <w:rPr>
          <w:rFonts w:ascii="TimesNewRoman" w:eastAsia="TimesNewRoman" w:cs="TimesNewRoman"/>
        </w:rPr>
        <w:t>Four way</w:t>
      </w:r>
      <w:proofErr w:type="gramEnd"/>
      <w:r>
        <w:rPr>
          <w:rFonts w:ascii="TimesNewRoman" w:eastAsia="TimesNewRoman" w:cs="TimesNewRoman"/>
        </w:rPr>
        <w:t xml:space="preserve"> handshake</w:t>
      </w:r>
    </w:p>
    <w:p w14:paraId="2960381B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B551DA7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Upon completion of a successful FT 4-way handshake, the IEEE 802.1X Controlled Port shall </w:t>
      </w:r>
      <w:proofErr w:type="gramStart"/>
      <w:r>
        <w:rPr>
          <w:rFonts w:ascii="TimesNewRoman" w:eastAsia="TimesNewRoman" w:cs="TimesNewRoman"/>
        </w:rPr>
        <w:t>be opened</w:t>
      </w:r>
      <w:proofErr w:type="gramEnd"/>
      <w:r>
        <w:rPr>
          <w:rFonts w:ascii="TimesNewRoman" w:eastAsia="TimesNewRoman" w:cs="TimesNewRoman"/>
        </w:rPr>
        <w:t xml:space="preserve"> on both the non-AP STA and the AP.</w:t>
      </w:r>
    </w:p>
    <w:p w14:paraId="3B5F7233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57ACE2F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1E8C3922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Arial,Bold" w:eastAsia="Arial,Bold" w:cs="Arial,Bold"/>
          <w:b/>
          <w:bCs/>
        </w:rPr>
      </w:pPr>
      <w:r>
        <w:rPr>
          <w:rFonts w:ascii="Arial,Bold" w:eastAsia="Arial,Bold" w:cs="Arial,Bold"/>
          <w:b/>
          <w:bCs/>
        </w:rPr>
        <w:t xml:space="preserve">13.5.2 Over-the-air FT protocol authentication in an </w:t>
      </w:r>
      <w:proofErr w:type="spellStart"/>
      <w:r>
        <w:rPr>
          <w:rFonts w:ascii="Arial,Bold" w:eastAsia="Arial,Bold" w:cs="Arial,Bold"/>
          <w:b/>
          <w:bCs/>
        </w:rPr>
        <w:t>RSN</w:t>
      </w:r>
      <w:proofErr w:type="spellEnd"/>
    </w:p>
    <w:p w14:paraId="04789C8E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Arial,Bold" w:eastAsia="Arial,Bold" w:cs="Arial,Bold"/>
          <w:b/>
          <w:bCs/>
        </w:rPr>
      </w:pPr>
    </w:p>
    <w:p w14:paraId="221AA6D7" w14:textId="77777777" w:rsidR="00916BDB" w:rsidRDefault="00916BDB" w:rsidP="00916BDB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270CC9E4" wp14:editId="30AA0147">
            <wp:extent cx="5731510" cy="3909695"/>
            <wp:effectExtent l="0" t="0" r="2540" b="0"/>
            <wp:docPr id="485992717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992717" name="Picture 1" descr="A diagram of a proces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814CD" w14:textId="5F9A4B7D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rFonts w:ascii="TimesNewRoman" w:eastAsia="TimesNewRoman" w:hAnsi="CG Times (WN)" w:cs="TimesNewRoman"/>
          <w:i/>
          <w:iCs/>
          <w:lang w:val="en-IN" w:eastAsia="en-IN"/>
        </w:rPr>
      </w:pPr>
      <w:proofErr w:type="gram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lastRenderedPageBreak/>
        <w:t>To perform</w:t>
      </w:r>
      <w:proofErr w:type="gram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an over-the-air fast BSS transition to a target AP, the FTO and target AP shall perform the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following exchange:</w:t>
      </w:r>
    </w:p>
    <w:p w14:paraId="66F2D077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FTO</w:t>
      </w:r>
      <w:r w:rsidRPr="004B0E66">
        <w:rPr>
          <w:rFonts w:ascii="Symbol" w:eastAsia="TimesNewRoman" w:hAnsi="Symbol" w:cs="Symbol"/>
          <w:i/>
          <w:iCs/>
          <w:lang w:val="en-IN" w:eastAsia="en-IN"/>
        </w:rPr>
        <w:t>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Target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AP: Authentication-Request (FTAA, 0,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RSNE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[PMKR0Name],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MDE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</w:t>
      </w:r>
    </w:p>
    <w:p w14:paraId="0C3456D3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FTE[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SNonce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 R0KH-ID])</w:t>
      </w:r>
    </w:p>
    <w:p w14:paraId="4EF39E37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Target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AP</w:t>
      </w:r>
      <w:r w:rsidRPr="004B0E66">
        <w:rPr>
          <w:rFonts w:ascii="Symbol" w:eastAsia="TimesNewRoman" w:hAnsi="Symbol" w:cs="Symbol"/>
          <w:i/>
          <w:iCs/>
          <w:lang w:val="en-IN" w:eastAsia="en-IN"/>
        </w:rPr>
        <w:t>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FTO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: Authentication-Response (FTAA, Status,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RSNE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[PMKR0Name],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MDE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</w:t>
      </w:r>
    </w:p>
    <w:p w14:paraId="73097B58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FTE[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SNonce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 R1KH-ID, R0KH-ID])</w:t>
      </w:r>
    </w:p>
    <w:p w14:paraId="4DCDD73A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The SME of the FTO initiates the authentication exchange, </w:t>
      </w:r>
      <w:proofErr w:type="gram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through the use of</w:t>
      </w:r>
      <w:proofErr w:type="gram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the</w:t>
      </w:r>
    </w:p>
    <w:p w14:paraId="17FFBE13" w14:textId="5D26A2E3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i/>
          <w:iCs/>
          <w:lang w:val="en-US"/>
        </w:rPr>
      </w:pP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MLME-AUTHENTICATE.request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primitive, and the SME of the AP responds with an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MLMEAUTHENTICATE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.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response primitive. See 11.3.4. The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primitives for Authentication when the FT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authentication algorithm is selected use only authentication transaction sequence number values 1 and 2.</w:t>
      </w:r>
    </w:p>
    <w:p w14:paraId="2856EAC0" w14:textId="77777777" w:rsidR="00916BDB" w:rsidRDefault="00916BDB" w:rsidP="00F1329A">
      <w:pPr>
        <w:rPr>
          <w:lang w:eastAsia="en-IN"/>
        </w:rPr>
      </w:pPr>
    </w:p>
    <w:p w14:paraId="4FD0C3B9" w14:textId="2AD51224" w:rsidR="004B0E66" w:rsidRDefault="004B0E66" w:rsidP="004B0E66">
      <w:pPr>
        <w:rPr>
          <w:rFonts w:ascii="Arial" w:eastAsia="Times New Roman" w:hAnsi="Arial" w:cs="Arial"/>
        </w:rPr>
      </w:pPr>
      <w:r>
        <w:rPr>
          <w:b/>
          <w:bCs/>
          <w:lang w:eastAsia="en-IN"/>
        </w:rPr>
        <w:t xml:space="preserve">Observation 4 </w:t>
      </w:r>
      <w:r>
        <w:rPr>
          <w:rFonts w:ascii="Arial" w:hAnsi="Arial" w:cs="Arial"/>
        </w:rPr>
        <w:t xml:space="preserve">There </w:t>
      </w:r>
      <w:r w:rsidR="00116F47">
        <w:rPr>
          <w:rFonts w:ascii="Arial" w:hAnsi="Arial" w:cs="Arial"/>
        </w:rPr>
        <w:t>are multiple kind</w:t>
      </w:r>
      <w:r w:rsidR="004E4C5E">
        <w:rPr>
          <w:rFonts w:ascii="Arial" w:hAnsi="Arial" w:cs="Arial"/>
        </w:rPr>
        <w:t>s</w:t>
      </w:r>
      <w:r w:rsidR="00116F47">
        <w:rPr>
          <w:rFonts w:ascii="Arial" w:hAnsi="Arial" w:cs="Arial"/>
        </w:rPr>
        <w:t xml:space="preserve"> of FT procedures and AP/R0KH and STA/UE </w:t>
      </w:r>
      <w:r w:rsidR="004E4C5E">
        <w:rPr>
          <w:rFonts w:ascii="Arial" w:hAnsi="Arial" w:cs="Arial"/>
        </w:rPr>
        <w:t xml:space="preserve">further </w:t>
      </w:r>
      <w:r w:rsidR="00116F47">
        <w:rPr>
          <w:rFonts w:ascii="Arial" w:hAnsi="Arial" w:cs="Arial"/>
        </w:rPr>
        <w:t xml:space="preserve">exchanges nonce to generate </w:t>
      </w:r>
      <w:r w:rsidR="004E4C5E">
        <w:rPr>
          <w:rFonts w:ascii="Arial" w:hAnsi="Arial" w:cs="Arial"/>
        </w:rPr>
        <w:t xml:space="preserve">FT </w:t>
      </w:r>
      <w:r w:rsidR="00116F47">
        <w:rPr>
          <w:rFonts w:ascii="Arial" w:hAnsi="Arial" w:cs="Arial"/>
        </w:rPr>
        <w:t>keys.</w:t>
      </w:r>
    </w:p>
    <w:p w14:paraId="4A30DE66" w14:textId="77777777" w:rsidR="004B0E66" w:rsidRPr="001D7E16" w:rsidRDefault="004B0E66" w:rsidP="00F1329A">
      <w:pPr>
        <w:rPr>
          <w:lang w:eastAsia="en-IN"/>
        </w:rPr>
      </w:pPr>
    </w:p>
    <w:p w14:paraId="234A9C57" w14:textId="77777777" w:rsidR="00DE2B85" w:rsidRPr="00ED7FFB" w:rsidRDefault="008F52E9" w:rsidP="00DE2B85">
      <w:pPr>
        <w:pStyle w:val="Heading1"/>
        <w:rPr>
          <w:szCs w:val="36"/>
        </w:rPr>
      </w:pPr>
      <w:r>
        <w:rPr>
          <w:szCs w:val="36"/>
        </w:rPr>
        <w:t>5</w:t>
      </w:r>
      <w:r w:rsidR="00DE2B85">
        <w:rPr>
          <w:szCs w:val="36"/>
        </w:rPr>
        <w:tab/>
        <w:t>Conclusions and proposals</w:t>
      </w:r>
      <w:bookmarkEnd w:id="1"/>
    </w:p>
    <w:p w14:paraId="5B6BF420" w14:textId="77777777" w:rsidR="00116F47" w:rsidRPr="00DA5E30" w:rsidRDefault="00116F47" w:rsidP="00116F47">
      <w:pPr>
        <w:rPr>
          <w:rFonts w:ascii="Arial" w:hAnsi="Arial" w:cs="Arial"/>
          <w:b/>
          <w:bCs/>
        </w:rPr>
      </w:pPr>
      <w:r w:rsidRPr="00DA5E30">
        <w:rPr>
          <w:rFonts w:ascii="Arial" w:hAnsi="Arial" w:cs="Arial"/>
          <w:b/>
          <w:bCs/>
        </w:rPr>
        <w:t>Observation related to KIs/use cases of the TR:</w:t>
      </w:r>
    </w:p>
    <w:p w14:paraId="57814963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>TNAP/</w:t>
      </w:r>
      <w:proofErr w:type="spellStart"/>
      <w:r>
        <w:rPr>
          <w:lang w:eastAsia="en-IN"/>
        </w:rPr>
        <w:t>TWAP</w:t>
      </w:r>
      <w:proofErr w:type="spellEnd"/>
      <w:r>
        <w:rPr>
          <w:lang w:eastAsia="en-IN"/>
        </w:rPr>
        <w:t xml:space="preserve"> Mobility (KI1 and KI3): </w:t>
      </w:r>
    </w:p>
    <w:p w14:paraId="15E94C09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 w:rsidRPr="000A6269">
        <w:rPr>
          <w:lang w:eastAsia="en-IN"/>
        </w:rPr>
        <w:t xml:space="preserve">Fast BSS may work considering a </w:t>
      </w:r>
      <w:proofErr w:type="spellStart"/>
      <w:r w:rsidRPr="000A6269">
        <w:rPr>
          <w:lang w:eastAsia="en-IN"/>
        </w:rPr>
        <w:t>wifi</w:t>
      </w:r>
      <w:proofErr w:type="spellEnd"/>
      <w:r w:rsidRPr="000A6269">
        <w:rPr>
          <w:lang w:eastAsia="en-IN"/>
        </w:rPr>
        <w:t xml:space="preserve"> network </w:t>
      </w:r>
      <w:proofErr w:type="gramStart"/>
      <w:r w:rsidRPr="000A6269">
        <w:rPr>
          <w:lang w:eastAsia="en-IN"/>
        </w:rPr>
        <w:t>is planned</w:t>
      </w:r>
      <w:proofErr w:type="gramEnd"/>
      <w:r>
        <w:rPr>
          <w:lang w:eastAsia="en-IN"/>
        </w:rPr>
        <w:t xml:space="preserve"> with proper</w:t>
      </w:r>
      <w:r w:rsidRPr="000A6269">
        <w:rPr>
          <w:lang w:eastAsia="en-IN"/>
        </w:rPr>
        <w:t xml:space="preserve"> ESS to cover multiple </w:t>
      </w:r>
      <w:proofErr w:type="spellStart"/>
      <w:r w:rsidRPr="000A6269">
        <w:rPr>
          <w:lang w:eastAsia="en-IN"/>
        </w:rPr>
        <w:t>TNAPs</w:t>
      </w:r>
      <w:proofErr w:type="spellEnd"/>
      <w:r>
        <w:rPr>
          <w:lang w:eastAsia="en-IN"/>
        </w:rPr>
        <w:t>/</w:t>
      </w:r>
      <w:proofErr w:type="spellStart"/>
      <w:r>
        <w:rPr>
          <w:lang w:eastAsia="en-IN"/>
        </w:rPr>
        <w:t>TWAPs</w:t>
      </w:r>
      <w:proofErr w:type="spellEnd"/>
      <w:r>
        <w:rPr>
          <w:lang w:eastAsia="en-IN"/>
        </w:rPr>
        <w:t xml:space="preserve">. </w:t>
      </w:r>
    </w:p>
    <w:p w14:paraId="3216AC6B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 w:rsidRPr="00A013E6">
        <w:rPr>
          <w:lang w:eastAsia="en-IN"/>
        </w:rPr>
        <w:t>If UE moves to an AP that does not come into the common mobility (e.g., part of ESS), then Fast BSS will not work, and UE goes for full primary authentication</w:t>
      </w:r>
      <w:r>
        <w:rPr>
          <w:lang w:eastAsia="en-IN"/>
        </w:rPr>
        <w:t xml:space="preserve">. </w:t>
      </w:r>
    </w:p>
    <w:p w14:paraId="2AE152B9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 xml:space="preserve">AUN3 device/ RG mobility (KI2): </w:t>
      </w:r>
    </w:p>
    <w:p w14:paraId="212F527C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RGs are the cable network; RG works as a standalone AP to provide </w:t>
      </w:r>
      <w:proofErr w:type="spellStart"/>
      <w:r>
        <w:rPr>
          <w:lang w:eastAsia="en-IN"/>
        </w:rPr>
        <w:t>wifi</w:t>
      </w:r>
      <w:proofErr w:type="spellEnd"/>
      <w:r>
        <w:rPr>
          <w:lang w:eastAsia="en-IN"/>
        </w:rPr>
        <w:t xml:space="preserve"> connectivity to UE. For Fast BSS, UEs stay connected to the ESS (bridged network) via L2 while performing fast transition handover.</w:t>
      </w:r>
    </w:p>
    <w:p w14:paraId="2F7C1944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Between RGs, L2 layer connectivity </w:t>
      </w:r>
      <w:proofErr w:type="gramStart"/>
      <w:r>
        <w:rPr>
          <w:lang w:eastAsia="en-IN"/>
        </w:rPr>
        <w:t>is not defined</w:t>
      </w:r>
      <w:proofErr w:type="gramEnd"/>
      <w:r>
        <w:rPr>
          <w:lang w:eastAsia="en-IN"/>
        </w:rPr>
        <w:t>, so it is questionable to have fast BSS among RGs.</w:t>
      </w:r>
    </w:p>
    <w:p w14:paraId="46E224B6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>If UE connections break from the RG1 and connect to RG2, then UE may invalidate the R0KH ID, so again, fast BSS will not work.</w:t>
      </w:r>
    </w:p>
    <w:p w14:paraId="6CA7403E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>NSWO (KI4):</w:t>
      </w:r>
    </w:p>
    <w:p w14:paraId="67587A77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ESS is a limited area where a </w:t>
      </w:r>
      <w:proofErr w:type="spellStart"/>
      <w:r>
        <w:rPr>
          <w:lang w:eastAsia="en-IN"/>
        </w:rPr>
        <w:t>wifi</w:t>
      </w:r>
      <w:proofErr w:type="spellEnd"/>
      <w:r>
        <w:rPr>
          <w:lang w:eastAsia="en-IN"/>
        </w:rPr>
        <w:t xml:space="preserve"> provider may provide common mobility. Secondly, for Fast BSS, UEs stay connected to the ESS (bridged network) via L2 while performing fast transition handover.</w:t>
      </w:r>
    </w:p>
    <w:p w14:paraId="485F0F75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Currently, the NSWO can be providing to a UE connecting via AP from home country or visiting country. Using the Fast BSS for NSWO will be quite limited, and the solution will work only for a limited area where ESS </w:t>
      </w:r>
      <w:proofErr w:type="gramStart"/>
      <w:r>
        <w:rPr>
          <w:lang w:eastAsia="en-IN"/>
        </w:rPr>
        <w:t>is defined</w:t>
      </w:r>
      <w:proofErr w:type="gramEnd"/>
    </w:p>
    <w:p w14:paraId="005C8DCD" w14:textId="2021E661" w:rsidR="00DE2B85" w:rsidRDefault="001D7E16" w:rsidP="00DE2B85">
      <w:pPr>
        <w:rPr>
          <w:rFonts w:eastAsia="Times New Roman"/>
        </w:rPr>
      </w:pPr>
      <w:r>
        <w:t xml:space="preserve">Based on the observations made in this paper, </w:t>
      </w:r>
      <w:r w:rsidR="00EC4E46">
        <w:t xml:space="preserve">fast BSS will work for TNAP mobility, but </w:t>
      </w:r>
      <w:r w:rsidR="002F1AB9">
        <w:t>it may not work for</w:t>
      </w:r>
      <w:r w:rsidR="00EC4E46">
        <w:t xml:space="preserve"> RG and NSWO mobility.</w:t>
      </w:r>
      <w:r w:rsidR="007D059C">
        <w:t xml:space="preserve"> Therefore, for RG and NSWO mobility, </w:t>
      </w:r>
      <w:r w:rsidR="00116F47">
        <w:t>non-Fast</w:t>
      </w:r>
      <w:r w:rsidR="007D059C">
        <w:t xml:space="preserve"> BSS based solution should </w:t>
      </w:r>
      <w:proofErr w:type="gramStart"/>
      <w:r w:rsidR="007D059C">
        <w:t xml:space="preserve">be </w:t>
      </w:r>
      <w:r w:rsidR="003C01E0">
        <w:t>considered</w:t>
      </w:r>
      <w:proofErr w:type="gramEnd"/>
      <w:r w:rsidR="003C01E0">
        <w:t xml:space="preserve"> for normative work.</w:t>
      </w:r>
    </w:p>
    <w:p w14:paraId="79B89CEE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687C4" w14:textId="77777777" w:rsidR="00D67D25" w:rsidRDefault="00D67D25">
      <w:r>
        <w:separator/>
      </w:r>
    </w:p>
  </w:endnote>
  <w:endnote w:type="continuationSeparator" w:id="0">
    <w:p w14:paraId="699D9675" w14:textId="77777777" w:rsidR="00D67D25" w:rsidRDefault="00D67D25">
      <w:r>
        <w:continuationSeparator/>
      </w:r>
    </w:p>
  </w:endnote>
  <w:endnote w:type="continuationNotice" w:id="1">
    <w:p w14:paraId="284A8912" w14:textId="77777777" w:rsidR="00D67D25" w:rsidRDefault="00D67D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8CEA2" w14:textId="77777777" w:rsidR="00D67D25" w:rsidRDefault="00D67D25">
      <w:r>
        <w:separator/>
      </w:r>
    </w:p>
  </w:footnote>
  <w:footnote w:type="continuationSeparator" w:id="0">
    <w:p w14:paraId="0BAF101A" w14:textId="77777777" w:rsidR="00D67D25" w:rsidRDefault="00D67D25">
      <w:r>
        <w:continuationSeparator/>
      </w:r>
    </w:p>
  </w:footnote>
  <w:footnote w:type="continuationNotice" w:id="1">
    <w:p w14:paraId="403F0C19" w14:textId="77777777" w:rsidR="00D67D25" w:rsidRDefault="00D67D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D6331C"/>
    <w:multiLevelType w:val="hybridMultilevel"/>
    <w:tmpl w:val="AFEC90A0"/>
    <w:lvl w:ilvl="0" w:tplc="274AAE84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9165B7"/>
    <w:multiLevelType w:val="hybridMultilevel"/>
    <w:tmpl w:val="BEDCA9F4"/>
    <w:lvl w:ilvl="0" w:tplc="DB2CADD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7104AC4"/>
    <w:multiLevelType w:val="hybridMultilevel"/>
    <w:tmpl w:val="2D6E654A"/>
    <w:lvl w:ilvl="0" w:tplc="432A135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9712D"/>
    <w:multiLevelType w:val="hybridMultilevel"/>
    <w:tmpl w:val="3B1ADB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6D249A8"/>
    <w:multiLevelType w:val="multilevel"/>
    <w:tmpl w:val="1284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4B744B"/>
    <w:multiLevelType w:val="hybridMultilevel"/>
    <w:tmpl w:val="E0DCEAE2"/>
    <w:lvl w:ilvl="0" w:tplc="4D7A8EE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624987"/>
    <w:multiLevelType w:val="hybridMultilevel"/>
    <w:tmpl w:val="DCDEAD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42691"/>
    <w:multiLevelType w:val="hybridMultilevel"/>
    <w:tmpl w:val="A7AAD9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826D88"/>
    <w:multiLevelType w:val="hybridMultilevel"/>
    <w:tmpl w:val="8FFC56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40576"/>
    <w:multiLevelType w:val="hybridMultilevel"/>
    <w:tmpl w:val="5852A808"/>
    <w:lvl w:ilvl="0" w:tplc="8D64BFA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69657A"/>
    <w:multiLevelType w:val="hybridMultilevel"/>
    <w:tmpl w:val="A1DE6C0E"/>
    <w:lvl w:ilvl="0" w:tplc="F7201396">
      <w:numFmt w:val="bullet"/>
      <w:lvlText w:val="-"/>
      <w:lvlJc w:val="left"/>
      <w:pPr>
        <w:ind w:left="928" w:hanging="360"/>
      </w:pPr>
      <w:rPr>
        <w:rFonts w:ascii="Arial" w:eastAsia="Aptos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DA00E6"/>
    <w:multiLevelType w:val="hybridMultilevel"/>
    <w:tmpl w:val="4FE4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A10D3"/>
    <w:multiLevelType w:val="multilevel"/>
    <w:tmpl w:val="32AA0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3B6697"/>
    <w:multiLevelType w:val="multilevel"/>
    <w:tmpl w:val="1C60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670F1C"/>
    <w:multiLevelType w:val="hybridMultilevel"/>
    <w:tmpl w:val="1610E27E"/>
    <w:lvl w:ilvl="0" w:tplc="28908A3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6472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1316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9572410">
    <w:abstractNumId w:val="16"/>
  </w:num>
  <w:num w:numId="4" w16cid:durableId="1055130143">
    <w:abstractNumId w:val="25"/>
  </w:num>
  <w:num w:numId="5" w16cid:durableId="161167174">
    <w:abstractNumId w:val="24"/>
  </w:num>
  <w:num w:numId="6" w16cid:durableId="754976445">
    <w:abstractNumId w:val="12"/>
  </w:num>
  <w:num w:numId="7" w16cid:durableId="777140015">
    <w:abstractNumId w:val="13"/>
  </w:num>
  <w:num w:numId="8" w16cid:durableId="1164470648">
    <w:abstractNumId w:val="44"/>
  </w:num>
  <w:num w:numId="9" w16cid:durableId="1902108">
    <w:abstractNumId w:val="33"/>
  </w:num>
  <w:num w:numId="10" w16cid:durableId="102311916">
    <w:abstractNumId w:val="42"/>
  </w:num>
  <w:num w:numId="11" w16cid:durableId="965741919">
    <w:abstractNumId w:val="18"/>
  </w:num>
  <w:num w:numId="12" w16cid:durableId="574701892">
    <w:abstractNumId w:val="31"/>
  </w:num>
  <w:num w:numId="13" w16cid:durableId="123620873">
    <w:abstractNumId w:val="9"/>
  </w:num>
  <w:num w:numId="14" w16cid:durableId="1768187246">
    <w:abstractNumId w:val="7"/>
  </w:num>
  <w:num w:numId="15" w16cid:durableId="73674328">
    <w:abstractNumId w:val="6"/>
  </w:num>
  <w:num w:numId="16" w16cid:durableId="309987319">
    <w:abstractNumId w:val="5"/>
  </w:num>
  <w:num w:numId="17" w16cid:durableId="1227565473">
    <w:abstractNumId w:val="4"/>
  </w:num>
  <w:num w:numId="18" w16cid:durableId="1052735742">
    <w:abstractNumId w:val="8"/>
  </w:num>
  <w:num w:numId="19" w16cid:durableId="1979921395">
    <w:abstractNumId w:val="3"/>
  </w:num>
  <w:num w:numId="20" w16cid:durableId="845482844">
    <w:abstractNumId w:val="2"/>
  </w:num>
  <w:num w:numId="21" w16cid:durableId="2110277297">
    <w:abstractNumId w:val="1"/>
  </w:num>
  <w:num w:numId="22" w16cid:durableId="872613076">
    <w:abstractNumId w:val="0"/>
  </w:num>
  <w:num w:numId="23" w16cid:durableId="1607274985">
    <w:abstractNumId w:val="32"/>
    <w:lvlOverride w:ilvl="0">
      <w:startOverride w:val="1"/>
    </w:lvlOverride>
  </w:num>
  <w:num w:numId="24" w16cid:durableId="1365983933">
    <w:abstractNumId w:val="36"/>
  </w:num>
  <w:num w:numId="25" w16cid:durableId="183519423">
    <w:abstractNumId w:val="35"/>
  </w:num>
  <w:num w:numId="26" w16cid:durableId="92479053">
    <w:abstractNumId w:val="14"/>
  </w:num>
  <w:num w:numId="27" w16cid:durableId="925844202">
    <w:abstractNumId w:val="11"/>
  </w:num>
  <w:num w:numId="28" w16cid:durableId="1581602166">
    <w:abstractNumId w:val="37"/>
  </w:num>
  <w:num w:numId="29" w16cid:durableId="1543906993">
    <w:abstractNumId w:val="23"/>
  </w:num>
  <w:num w:numId="30" w16cid:durableId="229389986">
    <w:abstractNumId w:val="30"/>
  </w:num>
  <w:num w:numId="31" w16cid:durableId="753210255">
    <w:abstractNumId w:val="41"/>
  </w:num>
  <w:num w:numId="32" w16cid:durableId="2136368095">
    <w:abstractNumId w:val="40"/>
  </w:num>
  <w:num w:numId="33" w16cid:durableId="504051205">
    <w:abstractNumId w:val="38"/>
  </w:num>
  <w:num w:numId="34" w16cid:durableId="755982232">
    <w:abstractNumId w:val="15"/>
  </w:num>
  <w:num w:numId="35" w16cid:durableId="4239176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5944821">
    <w:abstractNumId w:val="39"/>
  </w:num>
  <w:num w:numId="37" w16cid:durableId="1976791116">
    <w:abstractNumId w:val="43"/>
  </w:num>
  <w:num w:numId="38" w16cid:durableId="1639143325">
    <w:abstractNumId w:val="29"/>
  </w:num>
  <w:num w:numId="39" w16cid:durableId="1510480963">
    <w:abstractNumId w:val="22"/>
  </w:num>
  <w:num w:numId="40" w16cid:durableId="1905414185">
    <w:abstractNumId w:val="20"/>
  </w:num>
  <w:num w:numId="41" w16cid:durableId="185406530">
    <w:abstractNumId w:val="28"/>
  </w:num>
  <w:num w:numId="42" w16cid:durableId="1601334058">
    <w:abstractNumId w:val="26"/>
  </w:num>
  <w:num w:numId="43" w16cid:durableId="1273974512">
    <w:abstractNumId w:val="19"/>
  </w:num>
  <w:num w:numId="44" w16cid:durableId="1524587395">
    <w:abstractNumId w:val="17"/>
  </w:num>
  <w:num w:numId="45" w16cid:durableId="1111438622">
    <w:abstractNumId w:val="34"/>
  </w:num>
  <w:num w:numId="46" w16cid:durableId="2105373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758D"/>
    <w:rsid w:val="00011E6C"/>
    <w:rsid w:val="000123AB"/>
    <w:rsid w:val="00012515"/>
    <w:rsid w:val="00016AC5"/>
    <w:rsid w:val="00017389"/>
    <w:rsid w:val="00021A9D"/>
    <w:rsid w:val="0002497E"/>
    <w:rsid w:val="00025526"/>
    <w:rsid w:val="00032521"/>
    <w:rsid w:val="0003364E"/>
    <w:rsid w:val="000419D4"/>
    <w:rsid w:val="00046389"/>
    <w:rsid w:val="000572B6"/>
    <w:rsid w:val="00063138"/>
    <w:rsid w:val="00070D9E"/>
    <w:rsid w:val="00074722"/>
    <w:rsid w:val="000758CD"/>
    <w:rsid w:val="00080BD5"/>
    <w:rsid w:val="000819D8"/>
    <w:rsid w:val="0008310C"/>
    <w:rsid w:val="00084ED9"/>
    <w:rsid w:val="00090F8A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4371"/>
    <w:rsid w:val="000D1B5B"/>
    <w:rsid w:val="000D2E20"/>
    <w:rsid w:val="000D6B0F"/>
    <w:rsid w:val="000E1066"/>
    <w:rsid w:val="000E1FCD"/>
    <w:rsid w:val="000F5B55"/>
    <w:rsid w:val="000F6C45"/>
    <w:rsid w:val="0010401F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434E"/>
    <w:rsid w:val="001447B0"/>
    <w:rsid w:val="00145437"/>
    <w:rsid w:val="00145DF9"/>
    <w:rsid w:val="00161E5D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2FD6"/>
    <w:rsid w:val="0020395B"/>
    <w:rsid w:val="002046CB"/>
    <w:rsid w:val="00204DC9"/>
    <w:rsid w:val="002062C0"/>
    <w:rsid w:val="00210817"/>
    <w:rsid w:val="002112D2"/>
    <w:rsid w:val="0021221B"/>
    <w:rsid w:val="00215130"/>
    <w:rsid w:val="002202A5"/>
    <w:rsid w:val="00230002"/>
    <w:rsid w:val="00243645"/>
    <w:rsid w:val="00244C9A"/>
    <w:rsid w:val="00246341"/>
    <w:rsid w:val="00247216"/>
    <w:rsid w:val="00251254"/>
    <w:rsid w:val="00267DD9"/>
    <w:rsid w:val="002942E3"/>
    <w:rsid w:val="002A1857"/>
    <w:rsid w:val="002B0BBC"/>
    <w:rsid w:val="002B22DB"/>
    <w:rsid w:val="002B543F"/>
    <w:rsid w:val="002B6772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206B"/>
    <w:rsid w:val="00315D1C"/>
    <w:rsid w:val="00317AE4"/>
    <w:rsid w:val="00323F79"/>
    <w:rsid w:val="003320C2"/>
    <w:rsid w:val="003323B1"/>
    <w:rsid w:val="003352B0"/>
    <w:rsid w:val="00344F3E"/>
    <w:rsid w:val="0035122B"/>
    <w:rsid w:val="00353451"/>
    <w:rsid w:val="00353EC0"/>
    <w:rsid w:val="00357608"/>
    <w:rsid w:val="00371032"/>
    <w:rsid w:val="00371B44"/>
    <w:rsid w:val="00374299"/>
    <w:rsid w:val="00380857"/>
    <w:rsid w:val="00381383"/>
    <w:rsid w:val="003875BB"/>
    <w:rsid w:val="00394329"/>
    <w:rsid w:val="003B7A3F"/>
    <w:rsid w:val="003C01E0"/>
    <w:rsid w:val="003C122B"/>
    <w:rsid w:val="003C2E76"/>
    <w:rsid w:val="003C3CA8"/>
    <w:rsid w:val="003C5A97"/>
    <w:rsid w:val="003C7A04"/>
    <w:rsid w:val="003D21AF"/>
    <w:rsid w:val="003D399D"/>
    <w:rsid w:val="003D40C7"/>
    <w:rsid w:val="003D6BBE"/>
    <w:rsid w:val="003F52B2"/>
    <w:rsid w:val="003F612D"/>
    <w:rsid w:val="00404498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777E"/>
    <w:rsid w:val="00470EAB"/>
    <w:rsid w:val="00474440"/>
    <w:rsid w:val="00485FA2"/>
    <w:rsid w:val="00491523"/>
    <w:rsid w:val="004948D6"/>
    <w:rsid w:val="0049598C"/>
    <w:rsid w:val="004959AC"/>
    <w:rsid w:val="004B0E66"/>
    <w:rsid w:val="004B3753"/>
    <w:rsid w:val="004B3B12"/>
    <w:rsid w:val="004C31D2"/>
    <w:rsid w:val="004C3D6F"/>
    <w:rsid w:val="004C3F92"/>
    <w:rsid w:val="004D55C2"/>
    <w:rsid w:val="004E123E"/>
    <w:rsid w:val="004E1DF2"/>
    <w:rsid w:val="004E2AB5"/>
    <w:rsid w:val="004E4C5E"/>
    <w:rsid w:val="004F01D7"/>
    <w:rsid w:val="004F3275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426D"/>
    <w:rsid w:val="005A7FC4"/>
    <w:rsid w:val="005B0966"/>
    <w:rsid w:val="005B4B47"/>
    <w:rsid w:val="005B795D"/>
    <w:rsid w:val="005F0C43"/>
    <w:rsid w:val="0060514A"/>
    <w:rsid w:val="006055F7"/>
    <w:rsid w:val="006108BF"/>
    <w:rsid w:val="00611C66"/>
    <w:rsid w:val="00612481"/>
    <w:rsid w:val="00612898"/>
    <w:rsid w:val="00613820"/>
    <w:rsid w:val="00616AB2"/>
    <w:rsid w:val="0062549F"/>
    <w:rsid w:val="00626B5D"/>
    <w:rsid w:val="00640739"/>
    <w:rsid w:val="00647B64"/>
    <w:rsid w:val="00652248"/>
    <w:rsid w:val="006524B8"/>
    <w:rsid w:val="00657B80"/>
    <w:rsid w:val="00661E74"/>
    <w:rsid w:val="00664EF2"/>
    <w:rsid w:val="00665C5D"/>
    <w:rsid w:val="0066724D"/>
    <w:rsid w:val="00667FF2"/>
    <w:rsid w:val="00673D9A"/>
    <w:rsid w:val="00675B3C"/>
    <w:rsid w:val="00687F3E"/>
    <w:rsid w:val="0069495C"/>
    <w:rsid w:val="006C0033"/>
    <w:rsid w:val="006D1F03"/>
    <w:rsid w:val="006D340A"/>
    <w:rsid w:val="006D43F1"/>
    <w:rsid w:val="006D7DB6"/>
    <w:rsid w:val="006E15F4"/>
    <w:rsid w:val="006E6A3D"/>
    <w:rsid w:val="006F2F0A"/>
    <w:rsid w:val="006F3A1E"/>
    <w:rsid w:val="0071254E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165F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F05BA"/>
    <w:rsid w:val="007F300B"/>
    <w:rsid w:val="007F46F8"/>
    <w:rsid w:val="007F5722"/>
    <w:rsid w:val="008004B8"/>
    <w:rsid w:val="008014C3"/>
    <w:rsid w:val="00810E8E"/>
    <w:rsid w:val="00811229"/>
    <w:rsid w:val="008175DC"/>
    <w:rsid w:val="008204C7"/>
    <w:rsid w:val="00822909"/>
    <w:rsid w:val="0083194E"/>
    <w:rsid w:val="008426C5"/>
    <w:rsid w:val="00844895"/>
    <w:rsid w:val="00850812"/>
    <w:rsid w:val="00852483"/>
    <w:rsid w:val="0085332E"/>
    <w:rsid w:val="00853B1F"/>
    <w:rsid w:val="00854EE2"/>
    <w:rsid w:val="0086178C"/>
    <w:rsid w:val="00872E07"/>
    <w:rsid w:val="00874A78"/>
    <w:rsid w:val="00874B12"/>
    <w:rsid w:val="00876B9A"/>
    <w:rsid w:val="00876F44"/>
    <w:rsid w:val="0087749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4D59"/>
    <w:rsid w:val="0091046A"/>
    <w:rsid w:val="00913CD4"/>
    <w:rsid w:val="00915425"/>
    <w:rsid w:val="00916BDB"/>
    <w:rsid w:val="009262A8"/>
    <w:rsid w:val="00926ABD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C7"/>
    <w:rsid w:val="009C4695"/>
    <w:rsid w:val="009D1DA9"/>
    <w:rsid w:val="009D38DE"/>
    <w:rsid w:val="009E133A"/>
    <w:rsid w:val="009E7245"/>
    <w:rsid w:val="00A013E6"/>
    <w:rsid w:val="00A03504"/>
    <w:rsid w:val="00A03FC0"/>
    <w:rsid w:val="00A2128E"/>
    <w:rsid w:val="00A32237"/>
    <w:rsid w:val="00A33693"/>
    <w:rsid w:val="00A37D7F"/>
    <w:rsid w:val="00A37E48"/>
    <w:rsid w:val="00A41232"/>
    <w:rsid w:val="00A44A08"/>
    <w:rsid w:val="00A46410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F09"/>
    <w:rsid w:val="00B05CC7"/>
    <w:rsid w:val="00B14B6A"/>
    <w:rsid w:val="00B16AE6"/>
    <w:rsid w:val="00B27E39"/>
    <w:rsid w:val="00B33EE0"/>
    <w:rsid w:val="00B350D8"/>
    <w:rsid w:val="00B363B4"/>
    <w:rsid w:val="00B5545D"/>
    <w:rsid w:val="00B76763"/>
    <w:rsid w:val="00B7732B"/>
    <w:rsid w:val="00B879F0"/>
    <w:rsid w:val="00BA0741"/>
    <w:rsid w:val="00BA445F"/>
    <w:rsid w:val="00BA5B81"/>
    <w:rsid w:val="00BB2EE4"/>
    <w:rsid w:val="00BC25AA"/>
    <w:rsid w:val="00BC2CE8"/>
    <w:rsid w:val="00BC7246"/>
    <w:rsid w:val="00BC73C2"/>
    <w:rsid w:val="00BD73BA"/>
    <w:rsid w:val="00BE3B9A"/>
    <w:rsid w:val="00BF0D80"/>
    <w:rsid w:val="00BF2C84"/>
    <w:rsid w:val="00C022E3"/>
    <w:rsid w:val="00C05C68"/>
    <w:rsid w:val="00C06210"/>
    <w:rsid w:val="00C12D2B"/>
    <w:rsid w:val="00C16A57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82277"/>
    <w:rsid w:val="00C840B7"/>
    <w:rsid w:val="00C87552"/>
    <w:rsid w:val="00C9084A"/>
    <w:rsid w:val="00C94489"/>
    <w:rsid w:val="00C94F55"/>
    <w:rsid w:val="00CA3089"/>
    <w:rsid w:val="00CA7D62"/>
    <w:rsid w:val="00CB07A8"/>
    <w:rsid w:val="00CB2FDF"/>
    <w:rsid w:val="00CB5119"/>
    <w:rsid w:val="00CC3977"/>
    <w:rsid w:val="00CD4A57"/>
    <w:rsid w:val="00CE1C5B"/>
    <w:rsid w:val="00CF3393"/>
    <w:rsid w:val="00CF66B7"/>
    <w:rsid w:val="00D0392B"/>
    <w:rsid w:val="00D06626"/>
    <w:rsid w:val="00D11F62"/>
    <w:rsid w:val="00D15533"/>
    <w:rsid w:val="00D21C9F"/>
    <w:rsid w:val="00D26413"/>
    <w:rsid w:val="00D33604"/>
    <w:rsid w:val="00D33F33"/>
    <w:rsid w:val="00D37B08"/>
    <w:rsid w:val="00D4273A"/>
    <w:rsid w:val="00D437FF"/>
    <w:rsid w:val="00D47302"/>
    <w:rsid w:val="00D50C47"/>
    <w:rsid w:val="00D5130C"/>
    <w:rsid w:val="00D53B44"/>
    <w:rsid w:val="00D53DA0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A1E58"/>
    <w:rsid w:val="00DA29BE"/>
    <w:rsid w:val="00DA5E30"/>
    <w:rsid w:val="00DB18C5"/>
    <w:rsid w:val="00DB21DB"/>
    <w:rsid w:val="00DE2B8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7047E"/>
    <w:rsid w:val="00E84AAC"/>
    <w:rsid w:val="00E91FE1"/>
    <w:rsid w:val="00E94349"/>
    <w:rsid w:val="00E96F3B"/>
    <w:rsid w:val="00EA1B9C"/>
    <w:rsid w:val="00EA27E3"/>
    <w:rsid w:val="00EA5E95"/>
    <w:rsid w:val="00EB2373"/>
    <w:rsid w:val="00EB4A74"/>
    <w:rsid w:val="00EC4E46"/>
    <w:rsid w:val="00EC797C"/>
    <w:rsid w:val="00ED2A5C"/>
    <w:rsid w:val="00ED450C"/>
    <w:rsid w:val="00ED4954"/>
    <w:rsid w:val="00EE0943"/>
    <w:rsid w:val="00EE33A2"/>
    <w:rsid w:val="00F02669"/>
    <w:rsid w:val="00F0643B"/>
    <w:rsid w:val="00F1329A"/>
    <w:rsid w:val="00F1552E"/>
    <w:rsid w:val="00F22013"/>
    <w:rsid w:val="00F262ED"/>
    <w:rsid w:val="00F27913"/>
    <w:rsid w:val="00F3384C"/>
    <w:rsid w:val="00F4400D"/>
    <w:rsid w:val="00F44F50"/>
    <w:rsid w:val="00F61F07"/>
    <w:rsid w:val="00F62D19"/>
    <w:rsid w:val="00F6426B"/>
    <w:rsid w:val="00F64391"/>
    <w:rsid w:val="00F67A1C"/>
    <w:rsid w:val="00F80F9B"/>
    <w:rsid w:val="00F82C5B"/>
    <w:rsid w:val="00F8555F"/>
    <w:rsid w:val="00F91EFE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Strong">
    <w:name w:val="Strong"/>
    <w:uiPriority w:val="22"/>
    <w:qFormat/>
    <w:rsid w:val="00FD39C3"/>
    <w:rPr>
      <w:b/>
      <w:bCs/>
    </w:rPr>
  </w:style>
  <w:style w:type="character" w:styleId="Emphasis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DefaultParagraphFon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0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096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E2B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  <w:rsid w:val="007F46F8"/>
  </w:style>
  <w:style w:type="character" w:customStyle="1" w:styleId="eop">
    <w:name w:val="eop"/>
    <w:basedOn w:val="DefaultParagraphFon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5AIRPNAIUNRU-931754773-4819</_dlc_DocId>
    <_dlc_DocIdUrl xmlns="71c5aaf6-e6ce-465b-b873-5148d2a4c105">
      <Url>https://nokia.sharepoint.com/sites/c5g/security/_layouts/15/DocIdRedir.aspx?ID=5AIRPNAIUNRU-931754773-4819</Url>
      <Description>5AIRPNAIUNRU-931754773-4819</Description>
    </_dlc_DocIdUrl>
  </documentManagement>
</p:properties>
</file>

<file path=customXml/itemProps1.xml><?xml version="1.0" encoding="utf-8"?>
<ds:datastoreItem xmlns:ds="http://schemas.openxmlformats.org/officeDocument/2006/customXml" ds:itemID="{0CF7B876-E052-4731-83F2-FE5617E6E0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132B61-B6F6-43F0-BAB9-85FCF0B0C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9E163-6150-4C7C-B65E-7B36E9587E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5</Pages>
  <Words>1533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Saurabh3</cp:lastModifiedBy>
  <cp:revision>112</cp:revision>
  <cp:lastPrinted>1899-12-31T18:30:00Z</cp:lastPrinted>
  <dcterms:created xsi:type="dcterms:W3CDTF">2024-07-30T05:17:00Z</dcterms:created>
  <dcterms:modified xsi:type="dcterms:W3CDTF">2024-08-12T04:56:00Z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dab8f0dc-3e9b-45b2-b6db-17b19bf6b481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